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30197" w14:textId="77777777" w:rsidR="004741C0" w:rsidRPr="00A7416E" w:rsidRDefault="004741C0" w:rsidP="006D24FC">
      <w:pPr>
        <w:pStyle w:val="Tittel"/>
        <w:rPr>
          <w:color w:val="A8D08D" w:themeColor="accent6" w:themeTint="99"/>
          <w:lang w:val="en-GB"/>
        </w:rPr>
      </w:pPr>
      <w:r w:rsidRPr="00A7416E">
        <w:rPr>
          <w:color w:val="A8D08D" w:themeColor="accent6" w:themeTint="99"/>
          <w:lang w:val="en-GB"/>
        </w:rPr>
        <w:t>Examiner guidelines for exams [course] – [semester]</w:t>
      </w:r>
    </w:p>
    <w:p w14:paraId="6340AC02" w14:textId="77777777" w:rsidR="004741C0" w:rsidRPr="000E7AC8" w:rsidRDefault="004741C0" w:rsidP="004741C0">
      <w:pPr>
        <w:pStyle w:val="Overskrift3"/>
        <w:spacing w:before="360" w:after="120"/>
        <w:rPr>
          <w:rFonts w:eastAsia="Calibri"/>
          <w:b w:val="0"/>
          <w:bCs/>
          <w:color w:val="7B7B7B" w:themeColor="accent3" w:themeShade="BF"/>
          <w:spacing w:val="20"/>
          <w:sz w:val="28"/>
          <w:lang w:val="en-GB"/>
        </w:rPr>
      </w:pPr>
      <w:r w:rsidRPr="000E7AC8">
        <w:rPr>
          <w:rFonts w:eastAsia="Calibri"/>
          <w:b w:val="0"/>
          <w:bCs/>
          <w:color w:val="7B7B7B" w:themeColor="accent3" w:themeShade="BF"/>
          <w:spacing w:val="20"/>
          <w:sz w:val="28"/>
          <w:lang w:val="en-GB"/>
        </w:rPr>
        <w:t>To the examiners</w:t>
      </w:r>
    </w:p>
    <w:p w14:paraId="4313C4BC" w14:textId="77777777" w:rsidR="004741C0" w:rsidRPr="00A02998" w:rsidRDefault="004741C0" w:rsidP="00A02998">
      <w:pPr>
        <w:rPr>
          <w:lang w:val="en-GB"/>
        </w:rPr>
      </w:pPr>
      <w:r w:rsidRPr="00A02998">
        <w:rPr>
          <w:lang w:val="en-GB"/>
        </w:rPr>
        <w:t xml:space="preserve">The mark is to be assigned </w:t>
      </w:r>
      <w:proofErr w:type="gramStart"/>
      <w:r w:rsidRPr="00A02998">
        <w:rPr>
          <w:lang w:val="en-GB"/>
        </w:rPr>
        <w:t>on the basis of</w:t>
      </w:r>
      <w:proofErr w:type="gramEnd"/>
      <w:r w:rsidRPr="00A02998">
        <w:rPr>
          <w:lang w:val="en-GB"/>
        </w:rPr>
        <w:t xml:space="preserve"> "Supplementary guidelines for grade determination in legal subjects"</w:t>
      </w:r>
      <w:r w:rsidRPr="00A02998">
        <w:rPr>
          <w:rStyle w:val="Fotnotereferanse"/>
          <w:lang w:val="en-GB"/>
        </w:rPr>
        <w:footnoteReference w:id="1"/>
      </w:r>
      <w:r w:rsidRPr="00A02998">
        <w:rPr>
          <w:lang w:val="en-GB"/>
        </w:rPr>
        <w:t xml:space="preserve">, established by the National Faculty Meeting, which are cited later on in these examiner guidelines. The performance of the students shall be considered as a whole, based on the criteria for grading. A normal distribution shall not be used by the individual committees. For the evaluation of practical questions, the faculty would like </w:t>
      </w:r>
      <w:proofErr w:type="gramStart"/>
      <w:r w:rsidRPr="00A02998">
        <w:rPr>
          <w:lang w:val="en-GB"/>
        </w:rPr>
        <w:t>point</w:t>
      </w:r>
      <w:proofErr w:type="gramEnd"/>
      <w:r w:rsidRPr="00A02998">
        <w:rPr>
          <w:lang w:val="en-GB"/>
        </w:rPr>
        <w:t xml:space="preserve"> out in particular that an unfortunate tendency has been observed in recent years for some students to use a lot of space initially on standard phrases that are not related to the specific examination question. The purpose of practical questions is to test the students’ ability to solve practical tasks, including integrating the law with the facts in a perceptive manner. Methodical skills shall be key to the assessment. Such skills are demonstrated first and foremost through the specific application of the law, not through standardised introductions. It is first and foremost the students’ ability to apply the rules of law to the specific facts that should be rewarded in the grading process. Students who spend a lot of time and space on obvious matters and standard phrases, and who do not go enough in-depth on the discussion of key parts of the question, should be docked for this.</w:t>
      </w:r>
    </w:p>
    <w:p w14:paraId="686F2B5F" w14:textId="77777777" w:rsidR="004741C0" w:rsidRPr="00A02998" w:rsidRDefault="004741C0" w:rsidP="00A02998">
      <w:pPr>
        <w:rPr>
          <w:lang w:val="en-GB"/>
        </w:rPr>
      </w:pPr>
      <w:r w:rsidRPr="00A02998">
        <w:rPr>
          <w:lang w:val="en-GB"/>
        </w:rPr>
        <w:t xml:space="preserve">The faculty also finds reason to emphasise that it is not the case that there is only one “right” way of answering practical questions. Deviations from the examiners’ preferred way of answering should not in themselves have any impact on the grading. </w:t>
      </w:r>
    </w:p>
    <w:p w14:paraId="0BDFDBDE" w14:textId="77777777" w:rsidR="004741C0" w:rsidRPr="00A02998" w:rsidRDefault="004741C0" w:rsidP="00A02998">
      <w:pPr>
        <w:rPr>
          <w:lang w:val="en-GB"/>
        </w:rPr>
      </w:pPr>
      <w:r w:rsidRPr="00A02998">
        <w:rPr>
          <w:lang w:val="en-GB"/>
        </w:rPr>
        <w:t xml:space="preserve">Conveying good legal reasoning requires a simple, clear and effective language. Students who write in an easy-to-understand manner, precisely and to the point shall be rewarded for this. The students shall be docked for imprecise and overly lengthy discussions. The examiners must </w:t>
      </w:r>
      <w:proofErr w:type="gramStart"/>
      <w:r w:rsidRPr="00A02998">
        <w:rPr>
          <w:lang w:val="en-GB"/>
        </w:rPr>
        <w:t>in particular bear</w:t>
      </w:r>
      <w:proofErr w:type="gramEnd"/>
      <w:r w:rsidRPr="00A02998">
        <w:rPr>
          <w:lang w:val="en-GB"/>
        </w:rPr>
        <w:t xml:space="preserve"> this in mind when assessing the most extensive answers – if all of the additional words do not add much to the discussion, then the students shall be docked. The students shall be docked for excessive use of paragraphs if this breaks up the discussion in a way that makes it difficult for the reader to grasp the students’ </w:t>
      </w:r>
      <w:proofErr w:type="gramStart"/>
      <w:r w:rsidRPr="00A02998">
        <w:rPr>
          <w:lang w:val="en-GB"/>
        </w:rPr>
        <w:t>reasoning as a whole</w:t>
      </w:r>
      <w:proofErr w:type="gramEnd"/>
      <w:r w:rsidRPr="00A02998">
        <w:rPr>
          <w:lang w:val="en-GB"/>
        </w:rPr>
        <w:t>.</w:t>
      </w:r>
    </w:p>
    <w:p w14:paraId="26028CE5" w14:textId="77777777" w:rsidR="004741C0" w:rsidRPr="000E7AC8" w:rsidRDefault="004741C0" w:rsidP="004741C0">
      <w:pPr>
        <w:pStyle w:val="Overskrift3"/>
        <w:spacing w:before="360" w:after="120"/>
        <w:rPr>
          <w:rFonts w:eastAsia="Calibri"/>
          <w:b w:val="0"/>
          <w:bCs/>
          <w:color w:val="7B7B7B" w:themeColor="accent3" w:themeShade="BF"/>
          <w:spacing w:val="20"/>
          <w:sz w:val="28"/>
          <w:lang w:val="en-GB"/>
        </w:rPr>
      </w:pPr>
      <w:r w:rsidRPr="000E7AC8">
        <w:rPr>
          <w:rFonts w:eastAsia="Calibri"/>
          <w:b w:val="0"/>
          <w:bCs/>
          <w:color w:val="7B7B7B" w:themeColor="accent3" w:themeShade="BF"/>
          <w:spacing w:val="20"/>
          <w:sz w:val="28"/>
          <w:lang w:val="en-GB"/>
        </w:rPr>
        <w:t>To students who read the examiner guidelines in a learning perspective</w:t>
      </w:r>
    </w:p>
    <w:p w14:paraId="4AE3FE57" w14:textId="77777777" w:rsidR="004741C0" w:rsidRPr="004741C0" w:rsidRDefault="004741C0" w:rsidP="004741C0">
      <w:pPr>
        <w:rPr>
          <w:lang w:val="en-GB"/>
        </w:rPr>
      </w:pPr>
      <w:r w:rsidRPr="004741C0">
        <w:rPr>
          <w:lang w:val="en-GB"/>
        </w:rPr>
        <w:t xml:space="preserve">These examiner guidelines are designed to give the examiners guidelines for the evaluation of examination answers </w:t>
      </w:r>
      <w:proofErr w:type="gramStart"/>
      <w:r w:rsidRPr="004741C0">
        <w:rPr>
          <w:lang w:val="en-GB"/>
        </w:rPr>
        <w:t>in light of</w:t>
      </w:r>
      <w:proofErr w:type="gramEnd"/>
      <w:r w:rsidRPr="004741C0">
        <w:rPr>
          <w:lang w:val="en-GB"/>
        </w:rPr>
        <w:t xml:space="preserve"> the learning outcome described for the course. The examiners are highly qualified lawyers with prior material and methodical knowledge at a higher level than students who have or will take the examination for this course. Due to this, it is not given that all the circumstances related to the grading of examination answers are discussed in these guidelines. This applies in particular to the “general legal knowledge” that it is assumed the examiners are familiar with, including the importance that methodical skills, discerning use of the available time and space, appropriate structure, precise use of terms, good language, etc. always will have with respect to the </w:t>
      </w:r>
      <w:r w:rsidRPr="004741C0">
        <w:rPr>
          <w:lang w:val="en-GB"/>
        </w:rPr>
        <w:lastRenderedPageBreak/>
        <w:t>evaluation of an examination answer. Examiner guidelines cannot be read as a recipe for what a good examination answer should look like.</w:t>
      </w:r>
    </w:p>
    <w:p w14:paraId="27A11E95" w14:textId="77777777" w:rsidR="00B56A78" w:rsidRDefault="004741C0" w:rsidP="004741C0">
      <w:pPr>
        <w:rPr>
          <w:lang w:val="en-GB"/>
        </w:rPr>
      </w:pPr>
      <w:r w:rsidRPr="004741C0">
        <w:rPr>
          <w:lang w:val="en-GB"/>
        </w:rPr>
        <w:t>Working with previous examination questions may be a useful element in the learning process for a course. However, the learning outcome will be significantly reduced if you look at the examiner guidelines too early in the process, because it undermines the problem-based approach that is a prerequisite for solving new legal problems. Not until after you have made a real effort to solve the problem yourself will it be beneficial to look at the examiner guidelines, as an aid for assessing the strengths and weaknesses of your own answer.</w:t>
      </w:r>
    </w:p>
    <w:p w14:paraId="6B1EFED6" w14:textId="77777777" w:rsidR="004741C0" w:rsidRPr="004741C0" w:rsidRDefault="004741C0" w:rsidP="004741C0">
      <w:pPr>
        <w:pStyle w:val="Overskrift3"/>
        <w:spacing w:before="360" w:after="120"/>
        <w:rPr>
          <w:rFonts w:eastAsia="Calibri"/>
          <w:i/>
          <w:iCs/>
          <w:spacing w:val="20"/>
          <w:sz w:val="20"/>
          <w:szCs w:val="18"/>
          <w:lang w:val="en-GB"/>
        </w:rPr>
      </w:pPr>
      <w:r w:rsidRPr="006D24FC">
        <w:rPr>
          <w:rFonts w:eastAsia="Calibri"/>
          <w:color w:val="7B7B7B" w:themeColor="accent3" w:themeShade="BF"/>
          <w:spacing w:val="20"/>
          <w:szCs w:val="22"/>
          <w:lang w:val="en-GB"/>
        </w:rPr>
        <w:t>General, qualitative description of the different letter grades</w:t>
      </w:r>
      <w:r w:rsidRPr="006D24FC">
        <w:rPr>
          <w:rFonts w:eastAsia="Calibri"/>
          <w:color w:val="7B7B7B" w:themeColor="accent3" w:themeShade="BF"/>
          <w:spacing w:val="20"/>
          <w:szCs w:val="22"/>
          <w:lang w:val="en-GB"/>
        </w:rPr>
        <w:br/>
      </w:r>
      <w:r w:rsidRPr="004741C0">
        <w:rPr>
          <w:rFonts w:eastAsia="Calibri"/>
          <w:i/>
          <w:iCs/>
          <w:spacing w:val="20"/>
          <w:sz w:val="20"/>
          <w:szCs w:val="18"/>
          <w:lang w:val="en-GB"/>
        </w:rPr>
        <w:t>The exam answers are to be assessed on a grade scale of A to F [OR PASS/FAIL)</w:t>
      </w:r>
    </w:p>
    <w:tbl>
      <w:tblPr>
        <w:tblStyle w:val="Rutenettabell5mrkuthevingsfarge1"/>
        <w:tblW w:w="9634" w:type="dxa"/>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80" w:firstRow="0" w:lastRow="0" w:firstColumn="1" w:lastColumn="0" w:noHBand="0" w:noVBand="1"/>
      </w:tblPr>
      <w:tblGrid>
        <w:gridCol w:w="562"/>
        <w:gridCol w:w="9072"/>
      </w:tblGrid>
      <w:tr w:rsidR="004741C0" w:rsidRPr="00A7416E" w14:paraId="28BA0644" w14:textId="77777777" w:rsidTr="006D24FC">
        <w:trPr>
          <w:cnfStyle w:val="000000100000" w:firstRow="0" w:lastRow="0" w:firstColumn="0" w:lastColumn="0" w:oddVBand="0" w:evenVBand="0" w:oddHBand="1" w:evenHBand="0" w:firstRowFirstColumn="0" w:firstRowLastColumn="0" w:lastRowFirstColumn="0" w:lastRowLastColumn="0"/>
          <w:trHeight w:val="812"/>
          <w:jc w:val="center"/>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tcBorders>
            <w:shd w:val="clear" w:color="auto" w:fill="C5E0B3" w:themeFill="accent6" w:themeFillTint="66"/>
            <w:vAlign w:val="center"/>
          </w:tcPr>
          <w:p w14:paraId="1F23473D" w14:textId="77777777" w:rsidR="004741C0" w:rsidRPr="006D24FC" w:rsidRDefault="004741C0" w:rsidP="00AA53A3">
            <w:pPr>
              <w:spacing w:line="276" w:lineRule="auto"/>
              <w:jc w:val="center"/>
              <w:rPr>
                <w:rFonts w:eastAsia="Calibri" w:cs="Times New Roman"/>
                <w:sz w:val="24"/>
                <w:szCs w:val="24"/>
                <w:lang w:val="en-GB"/>
              </w:rPr>
            </w:pPr>
            <w:r w:rsidRPr="006D24FC">
              <w:rPr>
                <w:rFonts w:eastAsia="Calibri" w:cs="Times New Roman"/>
                <w:sz w:val="24"/>
                <w:szCs w:val="24"/>
                <w:lang w:val="en-GB"/>
              </w:rPr>
              <w:t>A</w:t>
            </w:r>
          </w:p>
        </w:tc>
        <w:tc>
          <w:tcPr>
            <w:tcW w:w="9072" w:type="dxa"/>
            <w:shd w:val="clear" w:color="auto" w:fill="E2EFD9" w:themeFill="accent6" w:themeFillTint="33"/>
            <w:vAlign w:val="center"/>
          </w:tcPr>
          <w:p w14:paraId="2770AD6D" w14:textId="3E2C381F" w:rsidR="004741C0" w:rsidRPr="00474D89" w:rsidRDefault="004741C0" w:rsidP="00AA53A3">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FA5CE3">
              <w:rPr>
                <w:rFonts w:eastAsia="Calibri" w:cs="Times New Roman"/>
                <w:b/>
                <w:bCs/>
                <w:lang w:val="en-GB"/>
              </w:rPr>
              <w:t>Excellent</w:t>
            </w:r>
            <w:r w:rsidRPr="00D378A3">
              <w:rPr>
                <w:rFonts w:eastAsia="Calibri" w:cs="Times New Roman"/>
                <w:lang w:val="en-GB"/>
              </w:rPr>
              <w:t xml:space="preserve"> </w:t>
            </w:r>
            <w:r w:rsidR="00A7416E" w:rsidRPr="00A7416E">
              <w:rPr>
                <w:rFonts w:eastAsia="Calibri" w:cs="Times New Roman"/>
                <w:lang w:val="en-GB"/>
              </w:rPr>
              <w:t>An excellent performance, clearly outstanding. The candidate demonstrates excellent judgement and a very high degree of independent thinking.</w:t>
            </w:r>
          </w:p>
        </w:tc>
      </w:tr>
      <w:tr w:rsidR="006D24FC" w:rsidRPr="00A7416E" w14:paraId="4D11CFE8" w14:textId="77777777" w:rsidTr="006D24FC">
        <w:trPr>
          <w:trHeight w:val="812"/>
          <w:jc w:val="center"/>
        </w:trPr>
        <w:tc>
          <w:tcPr>
            <w:cnfStyle w:val="001000000000" w:firstRow="0" w:lastRow="0" w:firstColumn="1" w:lastColumn="0" w:oddVBand="0" w:evenVBand="0" w:oddHBand="0" w:evenHBand="0" w:firstRowFirstColumn="0" w:firstRowLastColumn="0" w:lastRowFirstColumn="0" w:lastRowLastColumn="0"/>
            <w:tcW w:w="562" w:type="dxa"/>
            <w:tcBorders>
              <w:left w:val="single" w:sz="12" w:space="0" w:color="808080" w:themeColor="background1" w:themeShade="80"/>
              <w:bottom w:val="single" w:sz="12" w:space="0" w:color="808080" w:themeColor="background1" w:themeShade="80"/>
            </w:tcBorders>
            <w:shd w:val="clear" w:color="auto" w:fill="C5E0B3" w:themeFill="accent6" w:themeFillTint="66"/>
            <w:vAlign w:val="center"/>
          </w:tcPr>
          <w:p w14:paraId="038F261D" w14:textId="77777777" w:rsidR="004741C0" w:rsidRPr="006D24FC" w:rsidRDefault="004741C0" w:rsidP="00AA53A3">
            <w:pPr>
              <w:spacing w:line="276" w:lineRule="auto"/>
              <w:jc w:val="center"/>
              <w:rPr>
                <w:rFonts w:eastAsia="Calibri" w:cs="Times New Roman"/>
                <w:sz w:val="24"/>
                <w:szCs w:val="24"/>
                <w:lang w:val="en-GB"/>
              </w:rPr>
            </w:pPr>
            <w:r w:rsidRPr="006D24FC">
              <w:rPr>
                <w:rFonts w:eastAsia="Calibri" w:cs="Times New Roman"/>
                <w:sz w:val="24"/>
                <w:szCs w:val="24"/>
                <w:lang w:val="en-GB"/>
              </w:rPr>
              <w:t>B</w:t>
            </w:r>
          </w:p>
        </w:tc>
        <w:tc>
          <w:tcPr>
            <w:tcW w:w="9072" w:type="dxa"/>
            <w:shd w:val="clear" w:color="auto" w:fill="auto"/>
            <w:vAlign w:val="center"/>
          </w:tcPr>
          <w:p w14:paraId="25B5DDFC" w14:textId="6ED2A187" w:rsidR="004741C0" w:rsidRPr="00474D89" w:rsidRDefault="004741C0" w:rsidP="00AA53A3">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FA5CE3">
              <w:rPr>
                <w:rFonts w:eastAsia="Calibri" w:cs="Times New Roman"/>
                <w:b/>
                <w:bCs/>
                <w:lang w:val="en-GB"/>
              </w:rPr>
              <w:t>Very good</w:t>
            </w:r>
            <w:r w:rsidRPr="00347A36">
              <w:rPr>
                <w:rFonts w:eastAsia="Calibri" w:cs="Times New Roman"/>
                <w:lang w:val="en-GB"/>
              </w:rPr>
              <w:t xml:space="preserve"> </w:t>
            </w:r>
            <w:r w:rsidR="00A7416E" w:rsidRPr="00A7416E">
              <w:rPr>
                <w:rFonts w:eastAsia="Calibri" w:cs="Times New Roman"/>
                <w:lang w:val="en-GB"/>
              </w:rPr>
              <w:t xml:space="preserve">A very good performance. The candidate demonstrates sound judgement and a high degree of independent thinking.  </w:t>
            </w:r>
          </w:p>
        </w:tc>
      </w:tr>
      <w:tr w:rsidR="006D24FC" w:rsidRPr="00A7416E" w14:paraId="7DAF16B3" w14:textId="77777777" w:rsidTr="006D24FC">
        <w:trPr>
          <w:cnfStyle w:val="000000100000" w:firstRow="0" w:lastRow="0" w:firstColumn="0" w:lastColumn="0" w:oddVBand="0" w:evenVBand="0" w:oddHBand="1" w:evenHBand="0" w:firstRowFirstColumn="0" w:firstRowLastColumn="0" w:lastRowFirstColumn="0" w:lastRowLastColumn="0"/>
          <w:trHeight w:val="812"/>
          <w:jc w:val="center"/>
        </w:trPr>
        <w:tc>
          <w:tcPr>
            <w:cnfStyle w:val="001000000000" w:firstRow="0" w:lastRow="0" w:firstColumn="1" w:lastColumn="0" w:oddVBand="0" w:evenVBand="0" w:oddHBand="0" w:evenHBand="0" w:firstRowFirstColumn="0" w:firstRowLastColumn="0" w:lastRowFirstColumn="0" w:lastRowLastColumn="0"/>
            <w:tcW w:w="562" w:type="dxa"/>
            <w:tcBorders>
              <w:left w:val="single" w:sz="12" w:space="0" w:color="808080" w:themeColor="background1" w:themeShade="80"/>
            </w:tcBorders>
            <w:shd w:val="clear" w:color="auto" w:fill="C5E0B3" w:themeFill="accent6" w:themeFillTint="66"/>
            <w:vAlign w:val="center"/>
          </w:tcPr>
          <w:p w14:paraId="3F61DC6F" w14:textId="77777777" w:rsidR="004741C0" w:rsidRPr="006D24FC" w:rsidRDefault="004741C0" w:rsidP="00AA53A3">
            <w:pPr>
              <w:spacing w:line="276" w:lineRule="auto"/>
              <w:jc w:val="center"/>
              <w:rPr>
                <w:rFonts w:eastAsia="Calibri" w:cs="Times New Roman"/>
                <w:sz w:val="24"/>
                <w:szCs w:val="24"/>
                <w:lang w:val="en-GB"/>
              </w:rPr>
            </w:pPr>
            <w:r w:rsidRPr="006D24FC">
              <w:rPr>
                <w:rFonts w:eastAsia="Calibri" w:cs="Times New Roman"/>
                <w:sz w:val="24"/>
                <w:szCs w:val="24"/>
                <w:lang w:val="en-GB"/>
              </w:rPr>
              <w:t>C</w:t>
            </w:r>
          </w:p>
        </w:tc>
        <w:tc>
          <w:tcPr>
            <w:tcW w:w="9072" w:type="dxa"/>
            <w:shd w:val="clear" w:color="auto" w:fill="E2EFD9" w:themeFill="accent6" w:themeFillTint="33"/>
            <w:vAlign w:val="center"/>
          </w:tcPr>
          <w:p w14:paraId="28527068" w14:textId="4E0B4445" w:rsidR="004741C0" w:rsidRPr="00474D89" w:rsidRDefault="004741C0" w:rsidP="00AA53A3">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FA5CE3">
              <w:rPr>
                <w:rFonts w:eastAsia="Calibri" w:cs="Times New Roman"/>
                <w:b/>
                <w:bCs/>
                <w:lang w:val="en-GB"/>
              </w:rPr>
              <w:t>Good</w:t>
            </w:r>
            <w:r w:rsidRPr="00347A36">
              <w:rPr>
                <w:rFonts w:eastAsia="Calibri" w:cs="Times New Roman"/>
                <w:lang w:val="en-GB"/>
              </w:rPr>
              <w:t xml:space="preserve"> </w:t>
            </w:r>
            <w:r w:rsidR="00A7416E" w:rsidRPr="00A7416E">
              <w:rPr>
                <w:rFonts w:eastAsia="Calibri" w:cs="Times New Roman"/>
                <w:lang w:val="en-GB"/>
              </w:rPr>
              <w:t>A good performance in most areas. The candidate demonstrates a reasonable degree of judgement and independent thinking in the most important areas.</w:t>
            </w:r>
          </w:p>
        </w:tc>
      </w:tr>
      <w:tr w:rsidR="006D24FC" w:rsidRPr="00A7416E" w14:paraId="16E3A973" w14:textId="77777777" w:rsidTr="006D24FC">
        <w:trPr>
          <w:trHeight w:val="812"/>
          <w:jc w:val="center"/>
        </w:trPr>
        <w:tc>
          <w:tcPr>
            <w:cnfStyle w:val="001000000000" w:firstRow="0" w:lastRow="0" w:firstColumn="1" w:lastColumn="0" w:oddVBand="0" w:evenVBand="0" w:oddHBand="0" w:evenHBand="0" w:firstRowFirstColumn="0" w:firstRowLastColumn="0" w:lastRowFirstColumn="0" w:lastRowLastColumn="0"/>
            <w:tcW w:w="562" w:type="dxa"/>
            <w:tcBorders>
              <w:left w:val="single" w:sz="12" w:space="0" w:color="808080" w:themeColor="background1" w:themeShade="80"/>
            </w:tcBorders>
            <w:shd w:val="clear" w:color="auto" w:fill="C5E0B3" w:themeFill="accent6" w:themeFillTint="66"/>
            <w:vAlign w:val="center"/>
          </w:tcPr>
          <w:p w14:paraId="4106D7D3" w14:textId="77777777" w:rsidR="004741C0" w:rsidRPr="006D24FC" w:rsidRDefault="004741C0" w:rsidP="00AA53A3">
            <w:pPr>
              <w:spacing w:line="276" w:lineRule="auto"/>
              <w:jc w:val="center"/>
              <w:rPr>
                <w:rFonts w:eastAsia="Calibri" w:cs="Times New Roman"/>
                <w:sz w:val="24"/>
                <w:szCs w:val="24"/>
                <w:lang w:val="en-GB"/>
              </w:rPr>
            </w:pPr>
            <w:r w:rsidRPr="006D24FC">
              <w:rPr>
                <w:rFonts w:eastAsia="Calibri" w:cs="Times New Roman"/>
                <w:sz w:val="24"/>
                <w:szCs w:val="24"/>
                <w:lang w:val="en-GB"/>
              </w:rPr>
              <w:t>D</w:t>
            </w:r>
          </w:p>
        </w:tc>
        <w:tc>
          <w:tcPr>
            <w:tcW w:w="9072" w:type="dxa"/>
            <w:shd w:val="clear" w:color="auto" w:fill="auto"/>
            <w:vAlign w:val="center"/>
          </w:tcPr>
          <w:p w14:paraId="3E928ACD" w14:textId="621340E7" w:rsidR="004741C0" w:rsidRPr="00474D89" w:rsidRDefault="004741C0" w:rsidP="00AA53A3">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FA5CE3">
              <w:rPr>
                <w:rFonts w:eastAsia="Calibri" w:cs="Times New Roman"/>
                <w:b/>
                <w:bCs/>
                <w:lang w:val="en-GB"/>
              </w:rPr>
              <w:t>Satisfactory</w:t>
            </w:r>
            <w:r w:rsidRPr="00347A36">
              <w:rPr>
                <w:rFonts w:eastAsia="Calibri" w:cs="Times New Roman"/>
                <w:lang w:val="en-GB"/>
              </w:rPr>
              <w:t xml:space="preserve"> </w:t>
            </w:r>
            <w:r w:rsidR="00A7416E" w:rsidRPr="00A7416E">
              <w:rPr>
                <w:rFonts w:eastAsia="Calibri" w:cs="Times New Roman"/>
                <w:lang w:val="en-GB"/>
              </w:rPr>
              <w:t>A satisfactory performance, but with significant shortcomings. The candidate demonstrates a limited degree of judgement and independent thinking.</w:t>
            </w:r>
          </w:p>
        </w:tc>
      </w:tr>
      <w:tr w:rsidR="006D24FC" w:rsidRPr="00A7416E" w14:paraId="2D34D3C3" w14:textId="77777777" w:rsidTr="006D24FC">
        <w:trPr>
          <w:cnfStyle w:val="000000100000" w:firstRow="0" w:lastRow="0" w:firstColumn="0" w:lastColumn="0" w:oddVBand="0" w:evenVBand="0" w:oddHBand="1" w:evenHBand="0" w:firstRowFirstColumn="0" w:firstRowLastColumn="0" w:lastRowFirstColumn="0" w:lastRowLastColumn="0"/>
          <w:trHeight w:val="812"/>
          <w:jc w:val="center"/>
        </w:trPr>
        <w:tc>
          <w:tcPr>
            <w:cnfStyle w:val="001000000000" w:firstRow="0" w:lastRow="0" w:firstColumn="1" w:lastColumn="0" w:oddVBand="0" w:evenVBand="0" w:oddHBand="0" w:evenHBand="0" w:firstRowFirstColumn="0" w:firstRowLastColumn="0" w:lastRowFirstColumn="0" w:lastRowLastColumn="0"/>
            <w:tcW w:w="562" w:type="dxa"/>
            <w:tcBorders>
              <w:left w:val="single" w:sz="12" w:space="0" w:color="808080" w:themeColor="background1" w:themeShade="80"/>
            </w:tcBorders>
            <w:shd w:val="clear" w:color="auto" w:fill="C5E0B3" w:themeFill="accent6" w:themeFillTint="66"/>
            <w:vAlign w:val="center"/>
          </w:tcPr>
          <w:p w14:paraId="36E8657D" w14:textId="77777777" w:rsidR="004741C0" w:rsidRPr="006D24FC" w:rsidRDefault="004741C0" w:rsidP="00AA53A3">
            <w:pPr>
              <w:spacing w:line="276" w:lineRule="auto"/>
              <w:jc w:val="center"/>
              <w:rPr>
                <w:rFonts w:eastAsia="Calibri" w:cs="Times New Roman"/>
                <w:sz w:val="24"/>
                <w:szCs w:val="24"/>
                <w:lang w:val="en-GB"/>
              </w:rPr>
            </w:pPr>
            <w:r w:rsidRPr="006D24FC">
              <w:rPr>
                <w:rFonts w:eastAsia="Calibri" w:cs="Times New Roman"/>
                <w:sz w:val="24"/>
                <w:szCs w:val="24"/>
                <w:lang w:val="en-GB"/>
              </w:rPr>
              <w:t>E</w:t>
            </w:r>
          </w:p>
        </w:tc>
        <w:tc>
          <w:tcPr>
            <w:tcW w:w="9072" w:type="dxa"/>
            <w:shd w:val="clear" w:color="auto" w:fill="E2EFD9" w:themeFill="accent6" w:themeFillTint="33"/>
            <w:vAlign w:val="center"/>
          </w:tcPr>
          <w:p w14:paraId="0C8A358B" w14:textId="1ABF6952" w:rsidR="004741C0" w:rsidRPr="00474D89" w:rsidRDefault="004741C0" w:rsidP="00AA53A3">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proofErr w:type="gramStart"/>
            <w:r w:rsidRPr="00FA5CE3">
              <w:rPr>
                <w:rFonts w:eastAsia="Calibri" w:cs="Times New Roman"/>
                <w:b/>
                <w:bCs/>
                <w:lang w:val="en-GB"/>
              </w:rPr>
              <w:t>Sufficient</w:t>
            </w:r>
            <w:proofErr w:type="gramEnd"/>
            <w:r w:rsidRPr="00347A36">
              <w:rPr>
                <w:rFonts w:eastAsia="Calibri" w:cs="Times New Roman"/>
                <w:lang w:val="en-GB"/>
              </w:rPr>
              <w:t xml:space="preserve"> </w:t>
            </w:r>
            <w:r w:rsidR="00A7416E" w:rsidRPr="00A7416E">
              <w:rPr>
                <w:rFonts w:eastAsia="Calibri" w:cs="Times New Roman"/>
                <w:lang w:val="en-GB"/>
              </w:rPr>
              <w:t>A performance that meets the minimum criteria, but no more. The candidate demonstrates a very limited degree of judgement and independent thinking</w:t>
            </w:r>
          </w:p>
        </w:tc>
      </w:tr>
      <w:tr w:rsidR="004741C0" w:rsidRPr="00A7416E" w14:paraId="215FCDAA" w14:textId="77777777" w:rsidTr="006D24FC">
        <w:trPr>
          <w:trHeight w:val="812"/>
          <w:jc w:val="center"/>
        </w:trPr>
        <w:tc>
          <w:tcPr>
            <w:cnfStyle w:val="001000000000" w:firstRow="0" w:lastRow="0" w:firstColumn="1" w:lastColumn="0" w:oddVBand="0" w:evenVBand="0" w:oddHBand="0" w:evenHBand="0" w:firstRowFirstColumn="0" w:firstRowLastColumn="0" w:lastRowFirstColumn="0" w:lastRowLastColumn="0"/>
            <w:tcW w:w="562" w:type="dxa"/>
            <w:tcBorders>
              <w:left w:val="none" w:sz="0" w:space="0" w:color="auto"/>
              <w:bottom w:val="none" w:sz="0" w:space="0" w:color="auto"/>
            </w:tcBorders>
            <w:shd w:val="clear" w:color="auto" w:fill="C5E0B3" w:themeFill="accent6" w:themeFillTint="66"/>
            <w:vAlign w:val="center"/>
          </w:tcPr>
          <w:p w14:paraId="5EACB781" w14:textId="77777777" w:rsidR="004741C0" w:rsidRPr="006D24FC" w:rsidRDefault="004741C0" w:rsidP="00AA53A3">
            <w:pPr>
              <w:spacing w:line="276" w:lineRule="auto"/>
              <w:jc w:val="center"/>
              <w:rPr>
                <w:rFonts w:eastAsia="Calibri" w:cs="Times New Roman"/>
                <w:sz w:val="24"/>
                <w:szCs w:val="24"/>
                <w:lang w:val="en-GB"/>
              </w:rPr>
            </w:pPr>
            <w:r w:rsidRPr="006D24FC">
              <w:rPr>
                <w:rFonts w:eastAsia="Calibri" w:cs="Times New Roman"/>
                <w:sz w:val="24"/>
                <w:szCs w:val="24"/>
                <w:lang w:val="en-GB"/>
              </w:rPr>
              <w:t>F</w:t>
            </w:r>
          </w:p>
        </w:tc>
        <w:tc>
          <w:tcPr>
            <w:tcW w:w="9072" w:type="dxa"/>
            <w:shd w:val="clear" w:color="auto" w:fill="auto"/>
            <w:vAlign w:val="center"/>
          </w:tcPr>
          <w:p w14:paraId="2308BDA3" w14:textId="25634EEF" w:rsidR="004741C0" w:rsidRPr="00474D89" w:rsidRDefault="004741C0" w:rsidP="00AA53A3">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FA5CE3">
              <w:rPr>
                <w:rFonts w:eastAsia="Calibri" w:cs="Times New Roman"/>
                <w:b/>
                <w:bCs/>
                <w:lang w:val="en-GB"/>
              </w:rPr>
              <w:t>Fail</w:t>
            </w:r>
            <w:r w:rsidRPr="00347A36">
              <w:rPr>
                <w:rFonts w:eastAsia="Calibri" w:cs="Times New Roman"/>
                <w:lang w:val="en-GB"/>
              </w:rPr>
              <w:t xml:space="preserve"> </w:t>
            </w:r>
            <w:r w:rsidR="00A7416E" w:rsidRPr="00A7416E">
              <w:rPr>
                <w:rFonts w:eastAsia="Calibri" w:cs="Times New Roman"/>
                <w:lang w:val="en-GB"/>
              </w:rPr>
              <w:t>A performance that does not meet the minimum academic criteria. The candidate demonstrates an absence of both judgement and independent thinking.</w:t>
            </w:r>
          </w:p>
        </w:tc>
      </w:tr>
    </w:tbl>
    <w:p w14:paraId="7361B61E" w14:textId="5BCB3FD2" w:rsidR="004741C0" w:rsidRPr="006D24FC" w:rsidRDefault="004741C0" w:rsidP="004741C0">
      <w:pPr>
        <w:pStyle w:val="Overskrift3"/>
        <w:spacing w:before="360" w:after="120"/>
        <w:rPr>
          <w:rFonts w:eastAsia="Calibri"/>
          <w:color w:val="7B7B7B" w:themeColor="accent3" w:themeShade="BF"/>
          <w:spacing w:val="20"/>
          <w:szCs w:val="22"/>
          <w:lang w:val="en-GB"/>
        </w:rPr>
      </w:pPr>
      <w:r w:rsidRPr="006D24FC">
        <w:rPr>
          <w:rFonts w:eastAsia="Calibri"/>
          <w:color w:val="7B7B7B" w:themeColor="accent3" w:themeShade="BF"/>
          <w:spacing w:val="20"/>
          <w:szCs w:val="22"/>
          <w:lang w:val="en-GB"/>
        </w:rPr>
        <w:t xml:space="preserve">The mark is to be assigned </w:t>
      </w:r>
      <w:proofErr w:type="gramStart"/>
      <w:r w:rsidRPr="006D24FC">
        <w:rPr>
          <w:rFonts w:eastAsia="Calibri"/>
          <w:color w:val="7B7B7B" w:themeColor="accent3" w:themeShade="BF"/>
          <w:spacing w:val="20"/>
          <w:szCs w:val="22"/>
          <w:lang w:val="en-GB"/>
        </w:rPr>
        <w:t>on the basis of</w:t>
      </w:r>
      <w:proofErr w:type="gramEnd"/>
      <w:r w:rsidRPr="006D24FC">
        <w:rPr>
          <w:rFonts w:eastAsia="Calibri"/>
          <w:color w:val="7B7B7B" w:themeColor="accent3" w:themeShade="BF"/>
          <w:spacing w:val="20"/>
          <w:szCs w:val="22"/>
          <w:lang w:val="en-GB"/>
        </w:rPr>
        <w:t xml:space="preserve"> the following formulation in the </w:t>
      </w:r>
      <w:r w:rsidR="00AF24F8">
        <w:rPr>
          <w:rFonts w:eastAsia="Calibri"/>
          <w:color w:val="7B7B7B" w:themeColor="accent3" w:themeShade="BF"/>
          <w:spacing w:val="20"/>
          <w:szCs w:val="22"/>
          <w:lang w:val="en-GB"/>
        </w:rPr>
        <w:t>“</w:t>
      </w:r>
      <w:r w:rsidRPr="006D24FC">
        <w:rPr>
          <w:rFonts w:eastAsia="Calibri"/>
          <w:color w:val="7B7B7B" w:themeColor="accent3" w:themeShade="BF"/>
          <w:spacing w:val="20"/>
          <w:szCs w:val="22"/>
          <w:lang w:val="en-GB"/>
        </w:rPr>
        <w:t>Supplementary guidelines for grade determination in legal subjects”</w:t>
      </w:r>
      <w:r w:rsidR="00AF24F8" w:rsidRPr="00AF24F8">
        <w:rPr>
          <w:rStyle w:val="Fotnotereferanse"/>
          <w:rFonts w:eastAsia="Calibri"/>
          <w:b w:val="0"/>
          <w:bCs/>
          <w:color w:val="7B7B7B" w:themeColor="accent3" w:themeShade="BF"/>
          <w:spacing w:val="20"/>
          <w:szCs w:val="22"/>
          <w:lang w:val="en-GB"/>
        </w:rPr>
        <w:footnoteReference w:id="2"/>
      </w:r>
      <w:r w:rsidRPr="006D24FC">
        <w:rPr>
          <w:rFonts w:eastAsia="Calibri"/>
          <w:color w:val="7B7B7B" w:themeColor="accent3" w:themeShade="BF"/>
          <w:spacing w:val="20"/>
          <w:szCs w:val="22"/>
          <w:lang w:val="en-GB"/>
        </w:rPr>
        <w:t xml:space="preserve"> </w:t>
      </w:r>
    </w:p>
    <w:p w14:paraId="0694820E" w14:textId="77777777" w:rsidR="004741C0" w:rsidRPr="00413752" w:rsidRDefault="004741C0" w:rsidP="004741C0">
      <w:pPr>
        <w:tabs>
          <w:tab w:val="left" w:pos="851"/>
        </w:tabs>
        <w:spacing w:line="276" w:lineRule="auto"/>
        <w:rPr>
          <w:rFonts w:eastAsia="Calibri" w:cs="Times New Roman"/>
          <w:lang w:val="en-US"/>
        </w:rPr>
      </w:pPr>
      <w:r w:rsidRPr="00413752">
        <w:rPr>
          <w:rFonts w:eastAsia="Calibri" w:cs="Times New Roman"/>
          <w:lang w:val="en-US"/>
        </w:rPr>
        <w:t xml:space="preserve">Assessment of legal aptitudes and skills is to be done in accordance with a comprehensive evaluation of different qualities. The decisive factor for setting a grade is the total impression of the candidate's achievements in relation to the given task. Thus, various answers to the same question may </w:t>
      </w:r>
      <w:bookmarkStart w:id="0" w:name="_GoBack"/>
      <w:bookmarkEnd w:id="0"/>
      <w:r w:rsidRPr="00413752">
        <w:rPr>
          <w:rFonts w:eastAsia="Calibri" w:cs="Times New Roman"/>
          <w:lang w:val="en-US"/>
        </w:rPr>
        <w:t xml:space="preserve">individually have strong and weak sides, and still be considered equal in the overall assessment. Accordingly, subject-specific descriptions are not provided in the form of fixed rules about what </w:t>
      </w:r>
      <w:proofErr w:type="spellStart"/>
      <w:r w:rsidRPr="00413752">
        <w:rPr>
          <w:rFonts w:eastAsia="Calibri" w:cs="Times New Roman"/>
          <w:lang w:val="en-US"/>
        </w:rPr>
        <w:t>characterises</w:t>
      </w:r>
      <w:proofErr w:type="spellEnd"/>
      <w:r w:rsidRPr="00413752">
        <w:rPr>
          <w:rFonts w:eastAsia="Calibri" w:cs="Times New Roman"/>
          <w:lang w:val="en-US"/>
        </w:rPr>
        <w:t xml:space="preserve"> each grade or what qualities count the most.</w:t>
      </w:r>
    </w:p>
    <w:p w14:paraId="0A4E0EF5" w14:textId="77777777" w:rsidR="004741C0" w:rsidRPr="00413752" w:rsidRDefault="004741C0" w:rsidP="004741C0">
      <w:pPr>
        <w:tabs>
          <w:tab w:val="left" w:pos="851"/>
        </w:tabs>
        <w:spacing w:line="276" w:lineRule="auto"/>
        <w:rPr>
          <w:rFonts w:eastAsia="Calibri" w:cs="Times New Roman"/>
          <w:lang w:val="en-US"/>
        </w:rPr>
      </w:pPr>
      <w:r w:rsidRPr="00413752">
        <w:rPr>
          <w:rFonts w:eastAsia="Calibri" w:cs="Times New Roman"/>
          <w:lang w:val="en-US"/>
        </w:rPr>
        <w:t xml:space="preserve">In evaluating the grades to be given based on the </w:t>
      </w:r>
      <w:proofErr w:type="gramStart"/>
      <w:r w:rsidRPr="00413752">
        <w:rPr>
          <w:rFonts w:eastAsia="Calibri" w:cs="Times New Roman"/>
          <w:lang w:val="en-US"/>
        </w:rPr>
        <w:t>aforementioned general</w:t>
      </w:r>
      <w:proofErr w:type="gramEnd"/>
      <w:r w:rsidRPr="00413752">
        <w:rPr>
          <w:rFonts w:eastAsia="Calibri" w:cs="Times New Roman"/>
          <w:lang w:val="en-US"/>
        </w:rPr>
        <w:t xml:space="preserve"> descriptions, emphasis will be placed on the following skills in the overall evaluation that is to be made:</w:t>
      </w:r>
    </w:p>
    <w:p w14:paraId="6FA0857F" w14:textId="77777777" w:rsidR="004741C0" w:rsidRPr="00413752" w:rsidRDefault="004741C0" w:rsidP="004741C0">
      <w:pPr>
        <w:tabs>
          <w:tab w:val="left" w:pos="851"/>
        </w:tabs>
        <w:spacing w:line="276" w:lineRule="auto"/>
        <w:rPr>
          <w:rFonts w:eastAsia="Calibri" w:cs="Times New Roman"/>
          <w:lang w:val="en-US"/>
        </w:rPr>
      </w:pPr>
      <w:r w:rsidRPr="00413752">
        <w:rPr>
          <w:rFonts w:eastAsia="Calibri" w:cs="Times New Roman"/>
          <w:lang w:val="en-US"/>
        </w:rPr>
        <w:lastRenderedPageBreak/>
        <w:t>The skills will, in varying degrees, be part of the total academic assessment and are not meant to be exhaustive or listed in order of priority.</w:t>
      </w:r>
    </w:p>
    <w:tbl>
      <w:tblPr>
        <w:tblStyle w:val="Rutenettabell5mrkuthevingsfarge1"/>
        <w:tblW w:w="9634" w:type="dxa"/>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634"/>
      </w:tblGrid>
      <w:tr w:rsidR="004741C0" w:rsidRPr="00A7416E" w14:paraId="18E6F333" w14:textId="77777777" w:rsidTr="00A02998">
        <w:trPr>
          <w:cnfStyle w:val="100000000000" w:firstRow="1" w:lastRow="0" w:firstColumn="0" w:lastColumn="0" w:oddVBand="0" w:evenVBand="0" w:oddHBand="0" w:evenHBand="0" w:firstRowFirstColumn="0" w:firstRowLastColumn="0" w:lastRowFirstColumn="0" w:lastRowLastColumn="0"/>
          <w:trHeight w:val="515"/>
          <w:jc w:val="center"/>
        </w:trPr>
        <w:tc>
          <w:tcPr>
            <w:cnfStyle w:val="001000000000" w:firstRow="0" w:lastRow="0" w:firstColumn="1" w:lastColumn="0" w:oddVBand="0" w:evenVBand="0" w:oddHBand="0" w:evenHBand="0" w:firstRowFirstColumn="0" w:firstRowLastColumn="0" w:lastRowFirstColumn="0" w:lastRowLastColumn="0"/>
            <w:tcW w:w="9634" w:type="dxa"/>
            <w:tcBorders>
              <w:top w:val="none" w:sz="0" w:space="0" w:color="auto"/>
              <w:left w:val="none" w:sz="0" w:space="0" w:color="auto"/>
              <w:right w:val="none" w:sz="0" w:space="0" w:color="auto"/>
            </w:tcBorders>
            <w:shd w:val="clear" w:color="auto" w:fill="C5E0B3" w:themeFill="accent6" w:themeFillTint="66"/>
            <w:vAlign w:val="center"/>
          </w:tcPr>
          <w:p w14:paraId="7C2E57B0" w14:textId="77777777" w:rsidR="004741C0" w:rsidRPr="00BE5DF4" w:rsidRDefault="004741C0" w:rsidP="00AA53A3">
            <w:pPr>
              <w:tabs>
                <w:tab w:val="left" w:pos="851"/>
              </w:tabs>
              <w:rPr>
                <w:rFonts w:eastAsia="Calibri" w:cstheme="majorHAnsi"/>
                <w:b w:val="0"/>
                <w:bCs w:val="0"/>
                <w:color w:val="auto"/>
                <w:sz w:val="20"/>
                <w:szCs w:val="20"/>
                <w:lang w:val="en-GB"/>
              </w:rPr>
            </w:pPr>
            <w:r w:rsidRPr="00BE5DF4">
              <w:rPr>
                <w:rFonts w:cstheme="majorHAnsi"/>
                <w:b w:val="0"/>
                <w:bCs w:val="0"/>
                <w:color w:val="auto"/>
                <w:sz w:val="20"/>
                <w:szCs w:val="20"/>
                <w:lang w:val="en-US"/>
              </w:rPr>
              <w:t>Knowledge and overview of the subject content and relevant background material for the given task.</w:t>
            </w:r>
          </w:p>
        </w:tc>
      </w:tr>
      <w:tr w:rsidR="004741C0" w:rsidRPr="00A7416E" w14:paraId="55505799" w14:textId="77777777" w:rsidTr="002279CE">
        <w:trPr>
          <w:cnfStyle w:val="000000100000" w:firstRow="0" w:lastRow="0" w:firstColumn="0" w:lastColumn="0" w:oddVBand="0" w:evenVBand="0" w:oddHBand="1"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tcBorders>
            <w:shd w:val="clear" w:color="auto" w:fill="auto"/>
            <w:vAlign w:val="center"/>
          </w:tcPr>
          <w:p w14:paraId="6F0CB388" w14:textId="77777777" w:rsidR="004741C0" w:rsidRPr="00BE5DF4" w:rsidRDefault="004741C0" w:rsidP="00AA53A3">
            <w:pPr>
              <w:tabs>
                <w:tab w:val="left" w:pos="851"/>
              </w:tabs>
              <w:rPr>
                <w:rFonts w:eastAsia="Calibri" w:cstheme="majorHAnsi"/>
                <w:b w:val="0"/>
                <w:bCs w:val="0"/>
                <w:color w:val="auto"/>
                <w:sz w:val="20"/>
                <w:szCs w:val="20"/>
                <w:lang w:val="en-US"/>
              </w:rPr>
            </w:pPr>
            <w:r w:rsidRPr="00BE5DF4">
              <w:rPr>
                <w:rFonts w:cstheme="majorHAnsi"/>
                <w:b w:val="0"/>
                <w:bCs w:val="0"/>
                <w:color w:val="auto"/>
                <w:sz w:val="20"/>
                <w:szCs w:val="20"/>
                <w:lang w:val="en-US"/>
              </w:rPr>
              <w:t>The ability to locate and formulate legal issues, including distinguishing between various problems, principal and subsidiary issues, as well as the ability to put questions into their proper context.</w:t>
            </w:r>
          </w:p>
        </w:tc>
      </w:tr>
      <w:tr w:rsidR="004741C0" w:rsidRPr="00A7416E" w14:paraId="7F25F62D" w14:textId="77777777" w:rsidTr="00A02998">
        <w:trPr>
          <w:trHeight w:val="1269"/>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tcBorders>
            <w:shd w:val="clear" w:color="auto" w:fill="C5E0B3" w:themeFill="accent6" w:themeFillTint="66"/>
            <w:vAlign w:val="center"/>
          </w:tcPr>
          <w:p w14:paraId="063D77B4" w14:textId="77777777" w:rsidR="004741C0" w:rsidRPr="00BE5DF4" w:rsidRDefault="004741C0" w:rsidP="00AA53A3">
            <w:pPr>
              <w:tabs>
                <w:tab w:val="left" w:pos="851"/>
              </w:tabs>
              <w:rPr>
                <w:rFonts w:eastAsia="Calibri" w:cstheme="majorHAnsi"/>
                <w:b w:val="0"/>
                <w:bCs w:val="0"/>
                <w:color w:val="auto"/>
                <w:sz w:val="20"/>
                <w:szCs w:val="20"/>
                <w:lang w:val="en-US"/>
              </w:rPr>
            </w:pPr>
            <w:r w:rsidRPr="00BE5DF4">
              <w:rPr>
                <w:rFonts w:cstheme="majorHAnsi"/>
                <w:b w:val="0"/>
                <w:bCs w:val="0"/>
                <w:color w:val="auto"/>
                <w:sz w:val="20"/>
                <w:szCs w:val="20"/>
                <w:lang w:val="en-US"/>
              </w:rPr>
              <w:t xml:space="preserve">Ability to discuss questions in an academically justifiable and perceptive </w:t>
            </w:r>
            <w:proofErr w:type="gramStart"/>
            <w:r w:rsidRPr="00BE5DF4">
              <w:rPr>
                <w:rFonts w:cstheme="majorHAnsi"/>
                <w:b w:val="0"/>
                <w:bCs w:val="0"/>
                <w:color w:val="auto"/>
                <w:sz w:val="20"/>
                <w:szCs w:val="20"/>
                <w:lang w:val="en-US"/>
              </w:rPr>
              <w:t>manner, and</w:t>
            </w:r>
            <w:proofErr w:type="gramEnd"/>
            <w:r w:rsidRPr="00BE5DF4">
              <w:rPr>
                <w:rFonts w:cstheme="majorHAnsi"/>
                <w:b w:val="0"/>
                <w:bCs w:val="0"/>
                <w:color w:val="auto"/>
                <w:sz w:val="20"/>
                <w:szCs w:val="20"/>
                <w:lang w:val="en-US"/>
              </w:rPr>
              <w:t xml:space="preserve"> make use of the legal materials and facts at hand in accordance with the methodical principles of the legal discipline. This also entails perceptiveness concerning what is essential in terms of what is immaterial or irrelevant, to distinguish between certainty and doubt, as well as the ability to dimension substantiation and ensure sensible proportions in the answer to the task.</w:t>
            </w:r>
          </w:p>
        </w:tc>
      </w:tr>
      <w:tr w:rsidR="004741C0" w:rsidRPr="00A7416E" w14:paraId="41F1815F" w14:textId="77777777" w:rsidTr="002279CE">
        <w:trPr>
          <w:cnfStyle w:val="000000100000" w:firstRow="0" w:lastRow="0" w:firstColumn="0" w:lastColumn="0" w:oddVBand="0" w:evenVBand="0" w:oddHBand="1" w:evenHBand="0" w:firstRowFirstColumn="0" w:firstRowLastColumn="0" w:lastRowFirstColumn="0" w:lastRowLastColumn="0"/>
          <w:trHeight w:val="707"/>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tcBorders>
            <w:shd w:val="clear" w:color="auto" w:fill="auto"/>
            <w:vAlign w:val="center"/>
          </w:tcPr>
          <w:p w14:paraId="6E62089E" w14:textId="77777777" w:rsidR="004741C0" w:rsidRPr="00BE5DF4" w:rsidRDefault="004741C0" w:rsidP="00AA53A3">
            <w:pPr>
              <w:tabs>
                <w:tab w:val="left" w:pos="851"/>
              </w:tabs>
              <w:rPr>
                <w:rFonts w:eastAsia="Calibri" w:cstheme="majorHAnsi"/>
                <w:b w:val="0"/>
                <w:bCs w:val="0"/>
                <w:color w:val="auto"/>
                <w:sz w:val="20"/>
                <w:szCs w:val="20"/>
                <w:lang w:val="en-US"/>
              </w:rPr>
            </w:pPr>
            <w:r w:rsidRPr="00BE5DF4">
              <w:rPr>
                <w:rFonts w:cstheme="majorHAnsi"/>
                <w:b w:val="0"/>
                <w:bCs w:val="0"/>
                <w:color w:val="auto"/>
                <w:sz w:val="20"/>
                <w:szCs w:val="20"/>
                <w:lang w:val="en-US"/>
              </w:rPr>
              <w:t xml:space="preserve">An eye for legal policy dimensions within the subject of the task, albeit without losing sight of the threshold of importance between de </w:t>
            </w:r>
            <w:proofErr w:type="spellStart"/>
            <w:r w:rsidRPr="00BE5DF4">
              <w:rPr>
                <w:rFonts w:cstheme="majorHAnsi"/>
                <w:b w:val="0"/>
                <w:bCs w:val="0"/>
                <w:color w:val="auto"/>
                <w:sz w:val="20"/>
                <w:szCs w:val="20"/>
                <w:lang w:val="en-US"/>
              </w:rPr>
              <w:t>lege</w:t>
            </w:r>
            <w:proofErr w:type="spellEnd"/>
            <w:r w:rsidRPr="00BE5DF4">
              <w:rPr>
                <w:rFonts w:cstheme="majorHAnsi"/>
                <w:b w:val="0"/>
                <w:bCs w:val="0"/>
                <w:color w:val="auto"/>
                <w:sz w:val="20"/>
                <w:szCs w:val="20"/>
                <w:lang w:val="en-US"/>
              </w:rPr>
              <w:t xml:space="preserve"> </w:t>
            </w:r>
            <w:proofErr w:type="spellStart"/>
            <w:r w:rsidRPr="00BE5DF4">
              <w:rPr>
                <w:rFonts w:cstheme="majorHAnsi"/>
                <w:b w:val="0"/>
                <w:bCs w:val="0"/>
                <w:color w:val="auto"/>
                <w:sz w:val="20"/>
                <w:szCs w:val="20"/>
                <w:lang w:val="en-US"/>
              </w:rPr>
              <w:t>lata</w:t>
            </w:r>
            <w:proofErr w:type="spellEnd"/>
            <w:r w:rsidRPr="00BE5DF4">
              <w:rPr>
                <w:rFonts w:cstheme="majorHAnsi"/>
                <w:b w:val="0"/>
                <w:bCs w:val="0"/>
                <w:color w:val="auto"/>
                <w:sz w:val="20"/>
                <w:szCs w:val="20"/>
                <w:lang w:val="en-US"/>
              </w:rPr>
              <w:t xml:space="preserve"> and de </w:t>
            </w:r>
            <w:proofErr w:type="spellStart"/>
            <w:r w:rsidRPr="00BE5DF4">
              <w:rPr>
                <w:rFonts w:cstheme="majorHAnsi"/>
                <w:b w:val="0"/>
                <w:bCs w:val="0"/>
                <w:color w:val="auto"/>
                <w:sz w:val="20"/>
                <w:szCs w:val="20"/>
                <w:lang w:val="en-US"/>
              </w:rPr>
              <w:t>lege</w:t>
            </w:r>
            <w:proofErr w:type="spellEnd"/>
            <w:r w:rsidRPr="00BE5DF4">
              <w:rPr>
                <w:rFonts w:cstheme="majorHAnsi"/>
                <w:b w:val="0"/>
                <w:bCs w:val="0"/>
                <w:color w:val="auto"/>
                <w:sz w:val="20"/>
                <w:szCs w:val="20"/>
                <w:lang w:val="en-US"/>
              </w:rPr>
              <w:t xml:space="preserve"> ferenda.</w:t>
            </w:r>
          </w:p>
        </w:tc>
      </w:tr>
      <w:tr w:rsidR="004741C0" w:rsidRPr="00A7416E" w14:paraId="499AE62E" w14:textId="77777777" w:rsidTr="00A02998">
        <w:trPr>
          <w:trHeight w:val="547"/>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tcBorders>
            <w:shd w:val="clear" w:color="auto" w:fill="C5E0B3" w:themeFill="accent6" w:themeFillTint="66"/>
            <w:vAlign w:val="center"/>
          </w:tcPr>
          <w:p w14:paraId="68FCE99C" w14:textId="77777777" w:rsidR="004741C0" w:rsidRPr="00BE5DF4" w:rsidRDefault="004741C0" w:rsidP="00AA53A3">
            <w:pPr>
              <w:tabs>
                <w:tab w:val="left" w:pos="851"/>
              </w:tabs>
              <w:rPr>
                <w:rFonts w:eastAsia="Calibri" w:cstheme="majorHAnsi"/>
                <w:b w:val="0"/>
                <w:bCs w:val="0"/>
                <w:color w:val="auto"/>
                <w:sz w:val="20"/>
                <w:szCs w:val="20"/>
                <w:lang w:val="en-US"/>
              </w:rPr>
            </w:pPr>
            <w:r w:rsidRPr="00BE5DF4">
              <w:rPr>
                <w:rFonts w:cstheme="majorHAnsi"/>
                <w:b w:val="0"/>
                <w:bCs w:val="0"/>
                <w:color w:val="auto"/>
                <w:sz w:val="20"/>
                <w:szCs w:val="20"/>
                <w:lang w:val="en-US"/>
              </w:rPr>
              <w:t>Autonomy in the ability to reason critically and independently in relation to existing learning aids and teaching.</w:t>
            </w:r>
          </w:p>
        </w:tc>
      </w:tr>
      <w:tr w:rsidR="004741C0" w:rsidRPr="00A7416E" w14:paraId="1FA99200" w14:textId="77777777" w:rsidTr="002279CE">
        <w:trPr>
          <w:cnfStyle w:val="000000100000" w:firstRow="0" w:lastRow="0" w:firstColumn="0" w:lastColumn="0" w:oddVBand="0" w:evenVBand="0" w:oddHBand="1" w:evenHBand="0" w:firstRowFirstColumn="0" w:firstRowLastColumn="0" w:lastRowFirstColumn="0" w:lastRowLastColumn="0"/>
          <w:trHeight w:val="697"/>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bottom w:val="none" w:sz="0" w:space="0" w:color="auto"/>
            </w:tcBorders>
            <w:shd w:val="clear" w:color="auto" w:fill="auto"/>
            <w:vAlign w:val="center"/>
          </w:tcPr>
          <w:p w14:paraId="567D4AC0" w14:textId="77777777" w:rsidR="004741C0" w:rsidRPr="00BE5DF4" w:rsidRDefault="004741C0" w:rsidP="00AA53A3">
            <w:pPr>
              <w:tabs>
                <w:tab w:val="left" w:pos="851"/>
              </w:tabs>
              <w:rPr>
                <w:rFonts w:eastAsia="Calibri" w:cstheme="majorHAnsi"/>
                <w:b w:val="0"/>
                <w:bCs w:val="0"/>
                <w:color w:val="auto"/>
                <w:sz w:val="20"/>
                <w:szCs w:val="20"/>
                <w:lang w:val="en-US"/>
              </w:rPr>
            </w:pPr>
            <w:r w:rsidRPr="00BE5DF4">
              <w:rPr>
                <w:rFonts w:cstheme="majorHAnsi"/>
                <w:b w:val="0"/>
                <w:bCs w:val="0"/>
                <w:color w:val="auto"/>
                <w:sz w:val="20"/>
                <w:szCs w:val="20"/>
                <w:lang w:val="en-US"/>
              </w:rPr>
              <w:t>A command of language, the ability to formulate, level of precision and systematic tidiness in written and verbal accounts of legal topics.</w:t>
            </w:r>
          </w:p>
        </w:tc>
      </w:tr>
    </w:tbl>
    <w:p w14:paraId="4752D334" w14:textId="77777777" w:rsidR="004741C0" w:rsidRPr="00DB6264" w:rsidRDefault="004741C0" w:rsidP="004741C0">
      <w:pPr>
        <w:tabs>
          <w:tab w:val="left" w:pos="851"/>
        </w:tabs>
        <w:spacing w:before="240" w:line="276" w:lineRule="auto"/>
        <w:rPr>
          <w:rFonts w:eastAsia="Calibri" w:cs="Times New Roman"/>
          <w:lang w:val="en-US"/>
        </w:rPr>
      </w:pPr>
      <w:r w:rsidRPr="00DB6264">
        <w:rPr>
          <w:rFonts w:eastAsia="Calibri" w:cs="Times New Roman"/>
          <w:lang w:val="en-US"/>
        </w:rPr>
        <w:t>The skills will, in varying degrees, be part of the total academic assessment and are not meant to be exhaustive or listed in order of priority.</w:t>
      </w:r>
    </w:p>
    <w:p w14:paraId="290C349F" w14:textId="77777777" w:rsidR="00B2145D" w:rsidRPr="006D24FC" w:rsidRDefault="00B2145D" w:rsidP="006D24FC">
      <w:pPr>
        <w:pStyle w:val="Overskrift3"/>
        <w:spacing w:before="360" w:after="120"/>
        <w:rPr>
          <w:rFonts w:eastAsia="Calibri"/>
          <w:color w:val="7B7B7B" w:themeColor="accent3" w:themeShade="BF"/>
          <w:spacing w:val="20"/>
          <w:szCs w:val="22"/>
          <w:lang w:val="en-GB"/>
        </w:rPr>
      </w:pPr>
      <w:r w:rsidRPr="006D24FC">
        <w:rPr>
          <w:rFonts w:eastAsia="Calibri"/>
          <w:color w:val="7B7B7B" w:themeColor="accent3" w:themeShade="BF"/>
          <w:spacing w:val="20"/>
          <w:szCs w:val="22"/>
          <w:lang w:val="en-GB"/>
        </w:rPr>
        <w:t xml:space="preserve">Evaluation of the examination performance must be based on the learning outcomes described. </w:t>
      </w:r>
    </w:p>
    <w:p w14:paraId="1ADDE61E" w14:textId="38F127B9" w:rsidR="00C71DDD" w:rsidRPr="00C71DDD" w:rsidRDefault="00C71DDD" w:rsidP="00C71DDD">
      <w:pPr>
        <w:tabs>
          <w:tab w:val="left" w:pos="851"/>
        </w:tabs>
        <w:spacing w:before="240" w:line="276" w:lineRule="auto"/>
        <w:rPr>
          <w:rFonts w:eastAsia="Calibri" w:cs="Times New Roman"/>
          <w:lang w:val="en-US"/>
        </w:rPr>
      </w:pPr>
      <w:r w:rsidRPr="00C71DDD">
        <w:rPr>
          <w:rFonts w:eastAsia="Calibri" w:cs="Times New Roman"/>
          <w:lang w:val="en-US"/>
        </w:rPr>
        <w:t>[Enter the learning outcomes for the subject in question here]</w:t>
      </w:r>
    </w:p>
    <w:p w14:paraId="1C322F95" w14:textId="0FE73651" w:rsidR="008E5DD9" w:rsidRPr="00C71DDD" w:rsidRDefault="00C71DDD" w:rsidP="00743CB4">
      <w:pPr>
        <w:tabs>
          <w:tab w:val="left" w:pos="851"/>
        </w:tabs>
        <w:spacing w:before="240" w:line="276" w:lineRule="auto"/>
        <w:rPr>
          <w:rFonts w:eastAsia="Calibri" w:cs="Times New Roman"/>
          <w:lang w:val="en-US"/>
        </w:rPr>
      </w:pPr>
      <w:r w:rsidRPr="00C71DDD">
        <w:rPr>
          <w:rFonts w:eastAsia="Calibri" w:cs="Times New Roman"/>
          <w:lang w:val="en-US"/>
        </w:rPr>
        <w:t>[</w:t>
      </w:r>
      <w:r>
        <w:rPr>
          <w:rFonts w:eastAsia="Calibri" w:cs="Times New Roman"/>
          <w:lang w:val="en-US"/>
        </w:rPr>
        <w:t>F</w:t>
      </w:r>
      <w:r w:rsidRPr="00C71DDD">
        <w:rPr>
          <w:rFonts w:eastAsia="Calibri" w:cs="Times New Roman"/>
          <w:lang w:val="en-US"/>
        </w:rPr>
        <w:t>ollow up with a (brief) discussion of the parts of the learning outcomes that are deemed particularly relevant for the relevant examination assessment]</w:t>
      </w:r>
    </w:p>
    <w:p w14:paraId="4C5827F1" w14:textId="704CEE15" w:rsidR="008E5DD9" w:rsidRPr="006D24FC" w:rsidRDefault="003E6F9F" w:rsidP="006D24FC">
      <w:pPr>
        <w:pStyle w:val="Overskrift3"/>
        <w:spacing w:before="360" w:after="120"/>
        <w:rPr>
          <w:rFonts w:eastAsia="Calibri"/>
          <w:color w:val="7B7B7B" w:themeColor="accent3" w:themeShade="BF"/>
          <w:spacing w:val="20"/>
          <w:szCs w:val="22"/>
          <w:lang w:val="en-GB"/>
        </w:rPr>
      </w:pPr>
      <w:r w:rsidRPr="006D24FC">
        <w:rPr>
          <w:rFonts w:eastAsia="Calibri"/>
          <w:color w:val="7B7B7B" w:themeColor="accent3" w:themeShade="BF"/>
          <w:spacing w:val="20"/>
          <w:szCs w:val="22"/>
          <w:lang w:val="en-GB"/>
        </w:rPr>
        <w:t>Brief information on the types of examination</w:t>
      </w:r>
    </w:p>
    <w:p w14:paraId="257F9CCC" w14:textId="51C4775A" w:rsidR="008E5DD9" w:rsidRPr="00743CB4" w:rsidRDefault="00743CB4" w:rsidP="00743CB4">
      <w:pPr>
        <w:tabs>
          <w:tab w:val="left" w:pos="851"/>
        </w:tabs>
        <w:spacing w:before="240" w:line="276" w:lineRule="auto"/>
        <w:rPr>
          <w:rFonts w:eastAsia="Calibri" w:cs="Times New Roman"/>
          <w:lang w:val="en-US"/>
        </w:rPr>
      </w:pPr>
      <w:r w:rsidRPr="00743CB4">
        <w:rPr>
          <w:rFonts w:eastAsia="Calibri" w:cs="Times New Roman"/>
          <w:lang w:val="en-US"/>
        </w:rPr>
        <w:t>[School examinations, home examinations, duration, access to source to sources/aids]</w:t>
      </w:r>
    </w:p>
    <w:p w14:paraId="4D368287" w14:textId="77777777" w:rsidR="00B155DD" w:rsidRPr="006D24FC" w:rsidRDefault="00B155DD" w:rsidP="006D24FC">
      <w:pPr>
        <w:pStyle w:val="Overskrift3"/>
        <w:spacing w:before="360" w:after="120"/>
        <w:rPr>
          <w:rFonts w:eastAsia="Calibri"/>
          <w:color w:val="7B7B7B" w:themeColor="accent3" w:themeShade="BF"/>
          <w:spacing w:val="20"/>
          <w:szCs w:val="22"/>
          <w:lang w:val="en-GB"/>
        </w:rPr>
      </w:pPr>
      <w:r w:rsidRPr="006D24FC">
        <w:rPr>
          <w:rFonts w:eastAsia="Calibri"/>
          <w:color w:val="7B7B7B" w:themeColor="accent3" w:themeShade="BF"/>
          <w:spacing w:val="20"/>
          <w:szCs w:val="22"/>
          <w:lang w:val="en-GB"/>
        </w:rPr>
        <w:t xml:space="preserve">Brief information on the relevant examination question </w:t>
      </w:r>
    </w:p>
    <w:p w14:paraId="3C6581FC" w14:textId="0233A1CE" w:rsidR="00BF1ABA" w:rsidRPr="00BF1ABA" w:rsidRDefault="00BF1ABA" w:rsidP="00BF1ABA">
      <w:pPr>
        <w:tabs>
          <w:tab w:val="left" w:pos="851"/>
        </w:tabs>
        <w:spacing w:before="240" w:line="276" w:lineRule="auto"/>
        <w:rPr>
          <w:rFonts w:eastAsia="Calibri" w:cs="Times New Roman"/>
          <w:lang w:val="en-US"/>
        </w:rPr>
      </w:pPr>
      <w:r w:rsidRPr="00BF1ABA">
        <w:rPr>
          <w:rFonts w:eastAsia="Calibri" w:cs="Times New Roman"/>
          <w:lang w:val="en-US"/>
        </w:rPr>
        <w:t>[Relationship to the main reading list, supplementary reading list, learning activities, etc.]</w:t>
      </w:r>
    </w:p>
    <w:p w14:paraId="1D386662" w14:textId="10EF3AE7" w:rsidR="00BF1ABA" w:rsidRPr="00BF1ABA" w:rsidRDefault="00BF1ABA" w:rsidP="00BF1ABA">
      <w:pPr>
        <w:tabs>
          <w:tab w:val="left" w:pos="851"/>
        </w:tabs>
        <w:spacing w:before="240" w:line="276" w:lineRule="auto"/>
        <w:rPr>
          <w:rFonts w:eastAsia="Calibri" w:cs="Times New Roman"/>
          <w:lang w:val="en-US"/>
        </w:rPr>
      </w:pPr>
      <w:r w:rsidRPr="00BF1ABA">
        <w:rPr>
          <w:rFonts w:eastAsia="Calibri" w:cs="Times New Roman"/>
          <w:lang w:val="en-US"/>
        </w:rPr>
        <w:t>[Insert the literature list for the course here]</w:t>
      </w:r>
    </w:p>
    <w:p w14:paraId="17BC7C2B" w14:textId="2FAB7A5E" w:rsidR="00BF1ABA" w:rsidRPr="00BF1ABA" w:rsidRDefault="00BF1ABA" w:rsidP="00BF1ABA">
      <w:pPr>
        <w:tabs>
          <w:tab w:val="left" w:pos="851"/>
        </w:tabs>
        <w:spacing w:before="240" w:line="276" w:lineRule="auto"/>
        <w:rPr>
          <w:rFonts w:eastAsia="Calibri" w:cs="Times New Roman"/>
          <w:lang w:val="en-US"/>
        </w:rPr>
      </w:pPr>
      <w:r w:rsidRPr="00BF1ABA">
        <w:rPr>
          <w:rFonts w:eastAsia="Calibri" w:cs="Times New Roman"/>
          <w:lang w:val="en-US"/>
        </w:rPr>
        <w:t>[Keywords for material or methodological points deemed particularly relevant to the assessment of the exam. For questions with multiple parts/</w:t>
      </w:r>
      <w:proofErr w:type="spellStart"/>
      <w:r w:rsidRPr="00BF1ABA">
        <w:rPr>
          <w:rFonts w:eastAsia="Calibri" w:cs="Times New Roman"/>
          <w:lang w:val="en-US"/>
        </w:rPr>
        <w:t>subquestions</w:t>
      </w:r>
      <w:proofErr w:type="spellEnd"/>
      <w:r w:rsidRPr="00BF1ABA">
        <w:rPr>
          <w:rFonts w:eastAsia="Calibri" w:cs="Times New Roman"/>
          <w:lang w:val="en-US"/>
        </w:rPr>
        <w:t>, something should be said about each of the parts/</w:t>
      </w:r>
      <w:proofErr w:type="spellStart"/>
      <w:r w:rsidRPr="00BF1ABA">
        <w:rPr>
          <w:rFonts w:eastAsia="Calibri" w:cs="Times New Roman"/>
          <w:lang w:val="en-US"/>
        </w:rPr>
        <w:t>subquestions</w:t>
      </w:r>
      <w:proofErr w:type="spellEnd"/>
      <w:r w:rsidRPr="00BF1ABA">
        <w:rPr>
          <w:rFonts w:eastAsia="Calibri" w:cs="Times New Roman"/>
          <w:lang w:val="en-US"/>
        </w:rPr>
        <w:t>. If questions asked in the task can be resolved in different ways and with different angles of approach, this should be discussed. If reference is made to literature that is not on the main reading list, this shall be stated.]</w:t>
      </w:r>
    </w:p>
    <w:p w14:paraId="34F44ACC" w14:textId="7CFFBD0C" w:rsidR="00BF1ABA" w:rsidRPr="00BF1ABA" w:rsidRDefault="00BF1ABA" w:rsidP="00BF1ABA">
      <w:pPr>
        <w:tabs>
          <w:tab w:val="left" w:pos="851"/>
        </w:tabs>
        <w:spacing w:before="240" w:line="276" w:lineRule="auto"/>
        <w:rPr>
          <w:rFonts w:eastAsia="Calibri" w:cs="Times New Roman"/>
          <w:lang w:val="en-US"/>
        </w:rPr>
      </w:pPr>
      <w:r w:rsidRPr="00BF1ABA">
        <w:rPr>
          <w:rFonts w:eastAsia="Calibri" w:cs="Times New Roman"/>
          <w:lang w:val="en-US"/>
        </w:rPr>
        <w:lastRenderedPageBreak/>
        <w:t>[Particular mention of important aspects in cases of doubt, especially in relation to the failure threshold]</w:t>
      </w:r>
    </w:p>
    <w:p w14:paraId="1AE65166" w14:textId="19BCD470" w:rsidR="00BF1ABA" w:rsidRPr="00BF1ABA" w:rsidRDefault="00BF1ABA" w:rsidP="00BF1ABA">
      <w:pPr>
        <w:tabs>
          <w:tab w:val="left" w:pos="851"/>
        </w:tabs>
        <w:spacing w:before="240" w:line="276" w:lineRule="auto"/>
        <w:rPr>
          <w:rFonts w:eastAsia="Calibri" w:cs="Times New Roman"/>
          <w:lang w:val="en-US"/>
        </w:rPr>
      </w:pPr>
      <w:r w:rsidRPr="00BF1ABA">
        <w:rPr>
          <w:rFonts w:eastAsia="Calibri" w:cs="Times New Roman"/>
          <w:lang w:val="en-US"/>
        </w:rPr>
        <w:t xml:space="preserve">[Particular to take-home examinations: mention of the emphasis to be placed on citations, scope of sources, literature list </w:t>
      </w:r>
      <w:proofErr w:type="gramStart"/>
      <w:r w:rsidRPr="00BF1ABA">
        <w:rPr>
          <w:rFonts w:eastAsia="Calibri" w:cs="Times New Roman"/>
          <w:lang w:val="en-US"/>
        </w:rPr>
        <w:t>etc..</w:t>
      </w:r>
      <w:proofErr w:type="gramEnd"/>
      <w:r w:rsidRPr="00BF1ABA">
        <w:rPr>
          <w:rFonts w:eastAsia="Calibri" w:cs="Times New Roman"/>
          <w:lang w:val="en-US"/>
        </w:rPr>
        <w:t>]</w:t>
      </w:r>
    </w:p>
    <w:p w14:paraId="4F7D5D7D" w14:textId="177A2A9D" w:rsidR="004741C0" w:rsidRPr="00BF1ABA" w:rsidRDefault="00BF1ABA" w:rsidP="00BF1ABA">
      <w:pPr>
        <w:tabs>
          <w:tab w:val="left" w:pos="851"/>
        </w:tabs>
        <w:spacing w:before="240" w:line="276" w:lineRule="auto"/>
        <w:rPr>
          <w:rFonts w:eastAsia="Calibri" w:cs="Times New Roman"/>
          <w:lang w:val="en-US"/>
        </w:rPr>
      </w:pPr>
      <w:r w:rsidRPr="00BF1ABA">
        <w:rPr>
          <w:rFonts w:eastAsia="Calibri" w:cs="Times New Roman"/>
          <w:lang w:val="en-US"/>
        </w:rPr>
        <w:t xml:space="preserve">[Particular to </w:t>
      </w:r>
      <w:proofErr w:type="spellStart"/>
      <w:r w:rsidRPr="00BF1ABA">
        <w:rPr>
          <w:rFonts w:eastAsia="Calibri" w:cs="Times New Roman"/>
          <w:lang w:val="en-US"/>
        </w:rPr>
        <w:t>english</w:t>
      </w:r>
      <w:proofErr w:type="spellEnd"/>
      <w:r w:rsidRPr="00BF1ABA">
        <w:rPr>
          <w:rFonts w:eastAsia="Calibri" w:cs="Times New Roman"/>
          <w:lang w:val="en-US"/>
        </w:rPr>
        <w:t>-language exams: less emphasis on language than for exam</w:t>
      </w:r>
    </w:p>
    <w:sectPr w:rsidR="004741C0" w:rsidRPr="00BF1AB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441E3" w14:textId="77777777" w:rsidR="004741C0" w:rsidRDefault="004741C0" w:rsidP="004741C0">
      <w:pPr>
        <w:spacing w:after="0" w:line="240" w:lineRule="auto"/>
      </w:pPr>
      <w:r>
        <w:separator/>
      </w:r>
    </w:p>
  </w:endnote>
  <w:endnote w:type="continuationSeparator" w:id="0">
    <w:p w14:paraId="46672074" w14:textId="77777777" w:rsidR="004741C0" w:rsidRDefault="004741C0" w:rsidP="0047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rlito">
    <w:altName w:val="Calibri"/>
    <w:charset w:val="00"/>
    <w:family w:val="swiss"/>
    <w:pitch w:val="variable"/>
    <w:sig w:usb0="00000001" w:usb1="5000E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AB5DC" w14:textId="77777777" w:rsidR="004741C0" w:rsidRDefault="004741C0" w:rsidP="004741C0">
      <w:pPr>
        <w:spacing w:after="0" w:line="240" w:lineRule="auto"/>
      </w:pPr>
      <w:r>
        <w:separator/>
      </w:r>
    </w:p>
  </w:footnote>
  <w:footnote w:type="continuationSeparator" w:id="0">
    <w:p w14:paraId="1256B420" w14:textId="77777777" w:rsidR="004741C0" w:rsidRDefault="004741C0" w:rsidP="004741C0">
      <w:pPr>
        <w:spacing w:after="0" w:line="240" w:lineRule="auto"/>
      </w:pPr>
      <w:r>
        <w:continuationSeparator/>
      </w:r>
    </w:p>
  </w:footnote>
  <w:footnote w:id="1">
    <w:p w14:paraId="2DAFDA62" w14:textId="4E1C434F" w:rsidR="004741C0" w:rsidRDefault="004741C0" w:rsidP="004741C0">
      <w:pPr>
        <w:pStyle w:val="Fotnotetekst"/>
      </w:pPr>
      <w:r>
        <w:rPr>
          <w:rStyle w:val="Fotnotereferanse"/>
        </w:rPr>
        <w:footnoteRef/>
      </w:r>
      <w:r>
        <w:t xml:space="preserve"> </w:t>
      </w:r>
      <w:r w:rsidR="00A02998">
        <w:rPr>
          <w:rFonts w:asciiTheme="majorHAnsi" w:hAnsiTheme="majorHAnsi" w:cstheme="majorHAnsi"/>
          <w:sz w:val="18"/>
          <w:szCs w:val="18"/>
        </w:rPr>
        <w:t>«</w:t>
      </w:r>
      <w:hyperlink r:id="rId1" w:history="1">
        <w:proofErr w:type="spellStart"/>
        <w:r w:rsidRPr="00146C25">
          <w:rPr>
            <w:rStyle w:val="Hyperkobling"/>
            <w:rFonts w:asciiTheme="majorHAnsi" w:hAnsiTheme="majorHAnsi" w:cstheme="majorHAnsi"/>
            <w:sz w:val="18"/>
            <w:szCs w:val="18"/>
            <w:lang w:val="en-GB"/>
          </w:rPr>
          <w:t>Utfyllende</w:t>
        </w:r>
        <w:proofErr w:type="spellEnd"/>
        <w:r w:rsidRPr="00146C25">
          <w:rPr>
            <w:rStyle w:val="Hyperkobling"/>
            <w:rFonts w:asciiTheme="majorHAnsi" w:hAnsiTheme="majorHAnsi" w:cstheme="majorHAnsi"/>
            <w:sz w:val="18"/>
            <w:szCs w:val="18"/>
            <w:lang w:val="en-GB"/>
          </w:rPr>
          <w:t xml:space="preserve"> </w:t>
        </w:r>
        <w:proofErr w:type="spellStart"/>
        <w:r w:rsidRPr="00146C25">
          <w:rPr>
            <w:rStyle w:val="Hyperkobling"/>
            <w:rFonts w:asciiTheme="majorHAnsi" w:hAnsiTheme="majorHAnsi" w:cstheme="majorHAnsi"/>
            <w:sz w:val="18"/>
            <w:szCs w:val="18"/>
            <w:lang w:val="en-GB"/>
          </w:rPr>
          <w:t>retningslinjer</w:t>
        </w:r>
        <w:proofErr w:type="spellEnd"/>
        <w:r w:rsidRPr="00146C25">
          <w:rPr>
            <w:rStyle w:val="Hyperkobling"/>
            <w:rFonts w:asciiTheme="majorHAnsi" w:hAnsiTheme="majorHAnsi" w:cstheme="majorHAnsi"/>
            <w:sz w:val="18"/>
            <w:szCs w:val="18"/>
            <w:lang w:val="en-GB"/>
          </w:rPr>
          <w:t xml:space="preserve"> for </w:t>
        </w:r>
        <w:proofErr w:type="spellStart"/>
        <w:r w:rsidRPr="00146C25">
          <w:rPr>
            <w:rStyle w:val="Hyperkobling"/>
            <w:rFonts w:asciiTheme="majorHAnsi" w:hAnsiTheme="majorHAnsi" w:cstheme="majorHAnsi"/>
            <w:sz w:val="18"/>
            <w:szCs w:val="18"/>
            <w:lang w:val="en-GB"/>
          </w:rPr>
          <w:t>karakterfastsettelse</w:t>
        </w:r>
        <w:proofErr w:type="spellEnd"/>
        <w:r w:rsidRPr="00146C25">
          <w:rPr>
            <w:rStyle w:val="Hyperkobling"/>
            <w:rFonts w:asciiTheme="majorHAnsi" w:hAnsiTheme="majorHAnsi" w:cstheme="majorHAnsi"/>
            <w:sz w:val="18"/>
            <w:szCs w:val="18"/>
            <w:lang w:val="en-GB"/>
          </w:rPr>
          <w:t xml:space="preserve"> </w:t>
        </w:r>
        <w:proofErr w:type="spellStart"/>
        <w:r w:rsidRPr="00146C25">
          <w:rPr>
            <w:rStyle w:val="Hyperkobling"/>
            <w:rFonts w:asciiTheme="majorHAnsi" w:hAnsiTheme="majorHAnsi" w:cstheme="majorHAnsi"/>
            <w:sz w:val="18"/>
            <w:szCs w:val="18"/>
            <w:lang w:val="en-GB"/>
          </w:rPr>
          <w:t>i</w:t>
        </w:r>
        <w:proofErr w:type="spellEnd"/>
        <w:r w:rsidRPr="00146C25">
          <w:rPr>
            <w:rStyle w:val="Hyperkobling"/>
            <w:rFonts w:asciiTheme="majorHAnsi" w:hAnsiTheme="majorHAnsi" w:cstheme="majorHAnsi"/>
            <w:sz w:val="18"/>
            <w:szCs w:val="18"/>
            <w:lang w:val="en-GB"/>
          </w:rPr>
          <w:t xml:space="preserve"> </w:t>
        </w:r>
        <w:proofErr w:type="spellStart"/>
        <w:r w:rsidRPr="00146C25">
          <w:rPr>
            <w:rStyle w:val="Hyperkobling"/>
            <w:rFonts w:asciiTheme="majorHAnsi" w:hAnsiTheme="majorHAnsi" w:cstheme="majorHAnsi"/>
            <w:sz w:val="18"/>
            <w:szCs w:val="18"/>
            <w:lang w:val="en-GB"/>
          </w:rPr>
          <w:t>juridiske</w:t>
        </w:r>
        <w:proofErr w:type="spellEnd"/>
        <w:r w:rsidRPr="00146C25">
          <w:rPr>
            <w:rStyle w:val="Hyperkobling"/>
            <w:rFonts w:asciiTheme="majorHAnsi" w:hAnsiTheme="majorHAnsi" w:cstheme="majorHAnsi"/>
            <w:sz w:val="18"/>
            <w:szCs w:val="18"/>
            <w:lang w:val="en-GB"/>
          </w:rPr>
          <w:t xml:space="preserve"> fag</w:t>
        </w:r>
      </w:hyperlink>
      <w:r w:rsidRPr="00146C25">
        <w:rPr>
          <w:rFonts w:asciiTheme="majorHAnsi" w:hAnsiTheme="majorHAnsi" w:cstheme="majorHAnsi"/>
          <w:sz w:val="18"/>
          <w:szCs w:val="18"/>
        </w:rPr>
        <w:t>»</w:t>
      </w:r>
    </w:p>
  </w:footnote>
  <w:footnote w:id="2">
    <w:p w14:paraId="29CE2A6B" w14:textId="6A37DF9D" w:rsidR="00AF24F8" w:rsidRPr="00AF24F8" w:rsidRDefault="00AF24F8">
      <w:pPr>
        <w:pStyle w:val="Fotnotetekst"/>
        <w:rPr>
          <w:lang w:val="en-US"/>
        </w:rPr>
      </w:pPr>
      <w:r>
        <w:rPr>
          <w:rStyle w:val="Fotnotereferanse"/>
        </w:rPr>
        <w:footnoteRef/>
      </w:r>
      <w:r w:rsidRPr="00AF24F8">
        <w:rPr>
          <w:lang w:val="en-US"/>
        </w:rPr>
        <w:t xml:space="preserve"> </w:t>
      </w:r>
      <w:r w:rsidRPr="00786E73">
        <w:rPr>
          <w:rFonts w:asciiTheme="majorHAnsi" w:hAnsiTheme="majorHAnsi"/>
          <w:sz w:val="18"/>
          <w:lang w:val="en-US"/>
        </w:rPr>
        <w:t>Established by the National Faculty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6AE14" w14:textId="77777777" w:rsidR="004741C0" w:rsidRPr="00660D22" w:rsidRDefault="004741C0" w:rsidP="004741C0">
    <w:pPr>
      <w:spacing w:line="276" w:lineRule="auto"/>
      <w:rPr>
        <w:rFonts w:eastAsia="Calibri" w:cs="Times New Roman"/>
        <w:color w:val="1F4E79" w:themeColor="accent1" w:themeShade="80"/>
        <w:sz w:val="18"/>
        <w:szCs w:val="28"/>
      </w:rPr>
    </w:pPr>
    <w:r>
      <w:rPr>
        <w:noProof/>
        <w:lang w:eastAsia="nb-NO"/>
      </w:rPr>
      <w:drawing>
        <wp:anchor distT="0" distB="0" distL="114300" distR="114300" simplePos="0" relativeHeight="251659264" behindDoc="0" locked="0" layoutInCell="1" allowOverlap="1" wp14:anchorId="44A486C8" wp14:editId="76D392B3">
          <wp:simplePos x="0" y="0"/>
          <wp:positionH relativeFrom="column">
            <wp:posOffset>-86155</wp:posOffset>
          </wp:positionH>
          <wp:positionV relativeFrom="paragraph">
            <wp:posOffset>-90640</wp:posOffset>
          </wp:positionV>
          <wp:extent cx="3071550" cy="613096"/>
          <wp:effectExtent l="0" t="0" r="0" b="0"/>
          <wp:wrapTopAndBottom/>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71550" cy="61309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1C0"/>
    <w:rsid w:val="000315B4"/>
    <w:rsid w:val="000E7AC8"/>
    <w:rsid w:val="0011098B"/>
    <w:rsid w:val="001B7C57"/>
    <w:rsid w:val="001D4525"/>
    <w:rsid w:val="002279CE"/>
    <w:rsid w:val="003E6F9F"/>
    <w:rsid w:val="0043451A"/>
    <w:rsid w:val="004741C0"/>
    <w:rsid w:val="006D24FC"/>
    <w:rsid w:val="00743CB4"/>
    <w:rsid w:val="008E5DD9"/>
    <w:rsid w:val="00A02998"/>
    <w:rsid w:val="00A0601F"/>
    <w:rsid w:val="00A7416E"/>
    <w:rsid w:val="00AF24F8"/>
    <w:rsid w:val="00B155DD"/>
    <w:rsid w:val="00B2145D"/>
    <w:rsid w:val="00B56A78"/>
    <w:rsid w:val="00BF1ABA"/>
    <w:rsid w:val="00C71D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509D"/>
  <w15:chartTrackingRefBased/>
  <w15:docId w15:val="{FC7046C3-4189-475A-BA5E-8E1ACA66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51A"/>
    <w:rPr>
      <w:rFonts w:asciiTheme="majorHAnsi" w:hAnsiTheme="majorHAnsi"/>
    </w:rPr>
  </w:style>
  <w:style w:type="paragraph" w:styleId="Overskrift2">
    <w:name w:val="heading 2"/>
    <w:basedOn w:val="Normal"/>
    <w:link w:val="Overskrift2Tegn"/>
    <w:autoRedefine/>
    <w:uiPriority w:val="9"/>
    <w:qFormat/>
    <w:rsid w:val="001D4525"/>
    <w:pPr>
      <w:spacing w:beforeAutospacing="1" w:after="0" w:afterAutospacing="1" w:line="240" w:lineRule="auto"/>
      <w:outlineLvl w:val="1"/>
    </w:pPr>
    <w:rPr>
      <w:rFonts w:ascii="Carlito" w:eastAsia="Times New Roman" w:hAnsi="Carlito" w:cs="Times New Roman"/>
      <w:b/>
      <w:bCs/>
      <w:color w:val="2F5496" w:themeColor="accent5" w:themeShade="BF"/>
      <w:sz w:val="32"/>
      <w:szCs w:val="36"/>
      <w:lang w:eastAsia="nb-NO"/>
    </w:rPr>
  </w:style>
  <w:style w:type="paragraph" w:styleId="Overskrift3">
    <w:name w:val="heading 3"/>
    <w:basedOn w:val="Normal"/>
    <w:next w:val="Normal"/>
    <w:link w:val="Overskrift3Tegn"/>
    <w:uiPriority w:val="9"/>
    <w:unhideWhenUsed/>
    <w:rsid w:val="006D24FC"/>
    <w:pPr>
      <w:keepNext/>
      <w:keepLines/>
      <w:spacing w:before="40" w:after="0"/>
      <w:outlineLvl w:val="2"/>
    </w:pPr>
    <w:rPr>
      <w:rFonts w:eastAsiaTheme="majorEastAsia" w:cstheme="majorBidi"/>
      <w:b/>
      <w:color w:val="A8D08D" w:themeColor="accent6" w:themeTint="99"/>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rsid w:val="006D24FC"/>
    <w:pPr>
      <w:spacing w:after="0" w:line="240" w:lineRule="auto"/>
      <w:contextualSpacing/>
    </w:pPr>
    <w:rPr>
      <w:rFonts w:eastAsiaTheme="majorEastAsia" w:cstheme="majorBidi"/>
      <w:color w:val="538135" w:themeColor="accent6" w:themeShade="BF"/>
      <w:spacing w:val="-10"/>
      <w:kern w:val="28"/>
      <w:sz w:val="48"/>
      <w:szCs w:val="56"/>
    </w:rPr>
  </w:style>
  <w:style w:type="character" w:customStyle="1" w:styleId="TittelTegn">
    <w:name w:val="Tittel Tegn"/>
    <w:basedOn w:val="Standardskriftforavsnitt"/>
    <w:link w:val="Tittel"/>
    <w:uiPriority w:val="10"/>
    <w:rsid w:val="006D24FC"/>
    <w:rPr>
      <w:rFonts w:asciiTheme="majorHAnsi" w:eastAsiaTheme="majorEastAsia" w:hAnsiTheme="majorHAnsi" w:cstheme="majorBidi"/>
      <w:color w:val="538135" w:themeColor="accent6" w:themeShade="BF"/>
      <w:spacing w:val="-10"/>
      <w:kern w:val="28"/>
      <w:sz w:val="48"/>
      <w:szCs w:val="56"/>
    </w:rPr>
  </w:style>
  <w:style w:type="character" w:customStyle="1" w:styleId="Overskrift2Tegn">
    <w:name w:val="Overskrift 2 Tegn"/>
    <w:basedOn w:val="Standardskriftforavsnitt"/>
    <w:link w:val="Overskrift2"/>
    <w:uiPriority w:val="9"/>
    <w:rsid w:val="001D4525"/>
    <w:rPr>
      <w:rFonts w:ascii="Carlito" w:eastAsia="Times New Roman" w:hAnsi="Carlito" w:cs="Times New Roman"/>
      <w:b/>
      <w:bCs/>
      <w:color w:val="2F5496" w:themeColor="accent5" w:themeShade="BF"/>
      <w:sz w:val="32"/>
      <w:szCs w:val="36"/>
      <w:lang w:eastAsia="nb-NO"/>
    </w:rPr>
  </w:style>
  <w:style w:type="paragraph" w:styleId="Topptekst">
    <w:name w:val="header"/>
    <w:basedOn w:val="Normal"/>
    <w:link w:val="TopptekstTegn"/>
    <w:uiPriority w:val="99"/>
    <w:unhideWhenUsed/>
    <w:rsid w:val="004741C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741C0"/>
    <w:rPr>
      <w:rFonts w:asciiTheme="majorHAnsi" w:hAnsiTheme="majorHAnsi"/>
    </w:rPr>
  </w:style>
  <w:style w:type="paragraph" w:styleId="Bunntekst">
    <w:name w:val="footer"/>
    <w:basedOn w:val="Normal"/>
    <w:link w:val="BunntekstTegn"/>
    <w:uiPriority w:val="99"/>
    <w:unhideWhenUsed/>
    <w:rsid w:val="004741C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741C0"/>
    <w:rPr>
      <w:rFonts w:asciiTheme="majorHAnsi" w:hAnsiTheme="majorHAnsi"/>
    </w:rPr>
  </w:style>
  <w:style w:type="character" w:customStyle="1" w:styleId="Overskrift3Tegn">
    <w:name w:val="Overskrift 3 Tegn"/>
    <w:basedOn w:val="Standardskriftforavsnitt"/>
    <w:link w:val="Overskrift3"/>
    <w:uiPriority w:val="9"/>
    <w:rsid w:val="006D24FC"/>
    <w:rPr>
      <w:rFonts w:asciiTheme="majorHAnsi" w:eastAsiaTheme="majorEastAsia" w:hAnsiTheme="majorHAnsi" w:cstheme="majorBidi"/>
      <w:b/>
      <w:color w:val="A8D08D" w:themeColor="accent6" w:themeTint="99"/>
      <w:sz w:val="24"/>
      <w:szCs w:val="24"/>
    </w:rPr>
  </w:style>
  <w:style w:type="paragraph" w:styleId="Fotnotetekst">
    <w:name w:val="footnote text"/>
    <w:basedOn w:val="Normal"/>
    <w:link w:val="FotnotetekstTegn"/>
    <w:uiPriority w:val="99"/>
    <w:semiHidden/>
    <w:unhideWhenUsed/>
    <w:rsid w:val="004741C0"/>
    <w:pPr>
      <w:spacing w:after="0" w:line="240" w:lineRule="auto"/>
    </w:pPr>
    <w:rPr>
      <w:rFonts w:asciiTheme="minorHAnsi" w:hAnsiTheme="minorHAnsi"/>
      <w:sz w:val="20"/>
      <w:szCs w:val="20"/>
    </w:rPr>
  </w:style>
  <w:style w:type="character" w:customStyle="1" w:styleId="FotnotetekstTegn">
    <w:name w:val="Fotnotetekst Tegn"/>
    <w:basedOn w:val="Standardskriftforavsnitt"/>
    <w:link w:val="Fotnotetekst"/>
    <w:uiPriority w:val="99"/>
    <w:semiHidden/>
    <w:rsid w:val="004741C0"/>
    <w:rPr>
      <w:sz w:val="20"/>
      <w:szCs w:val="20"/>
    </w:rPr>
  </w:style>
  <w:style w:type="character" w:styleId="Fotnotereferanse">
    <w:name w:val="footnote reference"/>
    <w:basedOn w:val="Standardskriftforavsnitt"/>
    <w:uiPriority w:val="99"/>
    <w:semiHidden/>
    <w:unhideWhenUsed/>
    <w:rsid w:val="004741C0"/>
    <w:rPr>
      <w:vertAlign w:val="superscript"/>
    </w:rPr>
  </w:style>
  <w:style w:type="character" w:styleId="Hyperkobling">
    <w:name w:val="Hyperlink"/>
    <w:basedOn w:val="Standardskriftforavsnitt"/>
    <w:uiPriority w:val="99"/>
    <w:unhideWhenUsed/>
    <w:rsid w:val="004741C0"/>
    <w:rPr>
      <w:color w:val="0563C1" w:themeColor="hyperlink"/>
      <w:u w:val="single"/>
    </w:rPr>
  </w:style>
  <w:style w:type="table" w:styleId="Rutenettabell5mrkuthevingsfarge1">
    <w:name w:val="Grid Table 5 Dark Accent 1"/>
    <w:basedOn w:val="Vanligtabell"/>
    <w:uiPriority w:val="50"/>
    <w:rsid w:val="004741C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ib.no/jur/23629/retningsliner-karakterfastsetj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F12F3-02C9-495B-A2B3-9253C30F8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4AECB6B4.dotm</Template>
  <TotalTime>1</TotalTime>
  <Pages>4</Pages>
  <Words>1379</Words>
  <Characters>7309</Characters>
  <Application>Microsoft Office Word</Application>
  <DocSecurity>0</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Bakke Sørensen</dc:creator>
  <cp:keywords/>
  <dc:description/>
  <cp:lastModifiedBy>Kjersti Bakke Sørensen</cp:lastModifiedBy>
  <cp:revision>2</cp:revision>
  <dcterms:created xsi:type="dcterms:W3CDTF">2019-06-24T07:46:00Z</dcterms:created>
  <dcterms:modified xsi:type="dcterms:W3CDTF">2019-06-24T07:46:00Z</dcterms:modified>
</cp:coreProperties>
</file>