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B3CC" w14:textId="77777777" w:rsidR="00962CA6" w:rsidRPr="00A5582A" w:rsidRDefault="00962CA6" w:rsidP="00962CA6">
      <w:pPr>
        <w:pStyle w:val="Tittel"/>
        <w:rPr>
          <w:rFonts w:eastAsia="Times New Roman"/>
          <w:color w:val="1F4E79" w:themeColor="accent1" w:themeShade="80"/>
          <w:sz w:val="44"/>
        </w:rPr>
      </w:pPr>
      <w:r w:rsidRPr="00A5582A">
        <w:rPr>
          <w:rFonts w:eastAsia="Times New Roman"/>
          <w:color w:val="1F4E79" w:themeColor="accent1" w:themeShade="80"/>
          <w:sz w:val="44"/>
        </w:rPr>
        <w:t>Sensorveiledning for eksamen i [EMNE] – [SEMESTER]</w:t>
      </w:r>
    </w:p>
    <w:p w14:paraId="63CE4216" w14:textId="1D0BBEE7" w:rsidR="00660D22" w:rsidRPr="00827746" w:rsidRDefault="00660D22" w:rsidP="00F355FF">
      <w:pPr>
        <w:pStyle w:val="Overskrift3"/>
        <w:spacing w:before="360" w:after="120"/>
        <w:rPr>
          <w:rFonts w:eastAsia="Calibri"/>
          <w:spacing w:val="20"/>
          <w:szCs w:val="22"/>
        </w:rPr>
      </w:pPr>
      <w:r w:rsidRPr="00827746">
        <w:rPr>
          <w:rFonts w:eastAsia="Calibri"/>
          <w:spacing w:val="20"/>
          <w:szCs w:val="22"/>
        </w:rPr>
        <w:t>Til sensorene</w:t>
      </w:r>
    </w:p>
    <w:p w14:paraId="1EB0062A" w14:textId="144FBF95" w:rsidR="00962CA6" w:rsidRDefault="00660D22" w:rsidP="00F355FF">
      <w:pPr>
        <w:spacing w:after="0" w:line="276" w:lineRule="auto"/>
        <w:rPr>
          <w:rFonts w:asciiTheme="majorHAnsi" w:hAnsiTheme="majorHAnsi"/>
        </w:rPr>
      </w:pPr>
      <w:r w:rsidRPr="00004DAA">
        <w:rPr>
          <w:rFonts w:asciiTheme="majorHAnsi" w:hAnsiTheme="majorHAnsi"/>
        </w:rPr>
        <w:t>Karakterfastsettelsen skal skje på grunnlag av «</w:t>
      </w:r>
      <w:hyperlink r:id="rId8" w:history="1">
        <w:r w:rsidR="00F96547">
          <w:rPr>
            <w:rStyle w:val="Hyperkobling"/>
            <w:rFonts w:asciiTheme="majorHAnsi" w:hAnsiTheme="majorHAnsi"/>
          </w:rPr>
          <w:t>Utfyllende retningslinjer for karakterfastsettelse i juridiske fag</w:t>
        </w:r>
      </w:hyperlink>
      <w:r w:rsidR="00962CA6">
        <w:rPr>
          <w:rFonts w:asciiTheme="majorHAnsi" w:hAnsiTheme="majorHAnsi"/>
        </w:rPr>
        <w:t>»</w:t>
      </w:r>
      <w:r w:rsidRPr="00004DAA">
        <w:rPr>
          <w:rFonts w:asciiTheme="majorHAnsi" w:hAnsiTheme="majorHAnsi"/>
        </w:rPr>
        <w:t>, gjengitt senere i denne sensorveile</w:t>
      </w:r>
      <w:r w:rsidR="00962CA6">
        <w:rPr>
          <w:rFonts w:asciiTheme="majorHAnsi" w:hAnsiTheme="majorHAnsi"/>
        </w:rPr>
        <w:t>d</w:t>
      </w:r>
      <w:r w:rsidRPr="00004DAA">
        <w:rPr>
          <w:rFonts w:asciiTheme="majorHAnsi" w:hAnsiTheme="majorHAnsi"/>
        </w:rPr>
        <w:t xml:space="preserve">ningen. Studentenes prestasjon skal vurderes som et hele, basert på kriteriene for karakterfastsettelse. Det skal ikke normalfordeles i den enkelte kommisjon. </w:t>
      </w:r>
    </w:p>
    <w:p w14:paraId="3E85128B" w14:textId="77777777" w:rsidR="00F355FF" w:rsidRDefault="00F355FF" w:rsidP="00F355FF">
      <w:pPr>
        <w:spacing w:after="0" w:line="276" w:lineRule="auto"/>
        <w:rPr>
          <w:rFonts w:asciiTheme="majorHAnsi" w:hAnsiTheme="majorHAnsi"/>
        </w:rPr>
      </w:pPr>
    </w:p>
    <w:p w14:paraId="7ACA3BC7" w14:textId="12252528" w:rsidR="00660D22" w:rsidRDefault="00660D22" w:rsidP="00F355FF">
      <w:pPr>
        <w:spacing w:after="0" w:line="276" w:lineRule="auto"/>
        <w:rPr>
          <w:rFonts w:asciiTheme="majorHAnsi" w:hAnsiTheme="majorHAnsi"/>
        </w:rPr>
      </w:pPr>
      <w:r w:rsidRPr="00004DAA">
        <w:rPr>
          <w:rFonts w:asciiTheme="majorHAnsi" w:hAnsiTheme="majorHAnsi"/>
        </w:rPr>
        <w:t>For bedømmelser av praktikumsoppgaver vil imidlertid fakultetet gjøre særskilt oppmerksom på at det i de senere år har vært observert en tendens til at en del studenter bruker mye plass innledningsvis på standardiserte fraser som ikke knyttes opp til den konkrete eksamensoppgaven. Formålet med praktikumsoppgaver er å teste studentenes evne til å løse praktiske oppgaver, herunder å koble sammen juss og faktum på en skjønnsom måte. Metodiske ferdigheter skal stå sentralt i bedømmelsen. Slike demonstreres først og fremst gjennom den konkrete rettsbruken, ikke gjennom generelle og standardiserte innledninger. Det er først og fremst studentens evne til å anvende rettsreglene på det konkrete faktum som skal belønnes i sensuren. Studenter som bruker mye tid og plass på selvfølgeligheter og standardiserte fraser, og som ikke kommer nok i dybden på drøftelsene av oppgavens sentrale spørsmål, bør trekkes for dette.</w:t>
      </w:r>
    </w:p>
    <w:p w14:paraId="360F2E06" w14:textId="77777777" w:rsidR="00F355FF" w:rsidRPr="00004DAA" w:rsidRDefault="00F355FF" w:rsidP="00F355FF">
      <w:pPr>
        <w:spacing w:after="0" w:line="276" w:lineRule="auto"/>
        <w:rPr>
          <w:rFonts w:asciiTheme="majorHAnsi" w:hAnsiTheme="majorHAnsi"/>
        </w:rPr>
      </w:pPr>
    </w:p>
    <w:p w14:paraId="3B642FD0" w14:textId="3E94CAC0" w:rsidR="00660D22" w:rsidRPr="00004DAA" w:rsidRDefault="00660D22" w:rsidP="00F355FF">
      <w:pPr>
        <w:spacing w:after="0" w:line="276" w:lineRule="auto"/>
        <w:rPr>
          <w:rFonts w:asciiTheme="majorHAnsi" w:hAnsiTheme="majorHAnsi"/>
        </w:rPr>
      </w:pPr>
      <w:r w:rsidRPr="00004DAA">
        <w:rPr>
          <w:rFonts w:asciiTheme="majorHAnsi" w:hAnsiTheme="majorHAnsi"/>
        </w:rPr>
        <w:t xml:space="preserve">Fakultetet finner også grunn til å understreke at det ikke er slik at det </w:t>
      </w:r>
      <w:r w:rsidR="00962CA6">
        <w:rPr>
          <w:rFonts w:asciiTheme="majorHAnsi" w:hAnsiTheme="majorHAnsi"/>
        </w:rPr>
        <w:t xml:space="preserve">kun </w:t>
      </w:r>
      <w:r w:rsidRPr="00004DAA">
        <w:rPr>
          <w:rFonts w:asciiTheme="majorHAnsi" w:hAnsiTheme="majorHAnsi"/>
        </w:rPr>
        <w:t xml:space="preserve">finnes ett «riktig» oppsett for enhver praktikumsbesvarelse. Avvik fra sensorenes foretrukne oppsett skal ikke i seg selv gi utslag i sensuren. </w:t>
      </w:r>
    </w:p>
    <w:p w14:paraId="0D8B1568" w14:textId="77777777" w:rsidR="00660D22" w:rsidRPr="00004DAA" w:rsidRDefault="00660D22" w:rsidP="00F355FF">
      <w:pPr>
        <w:spacing w:after="0" w:line="276" w:lineRule="auto"/>
        <w:rPr>
          <w:rFonts w:asciiTheme="majorHAnsi" w:hAnsiTheme="majorHAnsi"/>
        </w:rPr>
      </w:pPr>
      <w:r w:rsidRPr="00004DAA">
        <w:rPr>
          <w:rFonts w:asciiTheme="majorHAnsi" w:hAnsiTheme="majorHAnsi"/>
        </w:rPr>
        <w:t>Å formidle gode juridiske resonnementer krever et enkelt, klart og effektivt språk. Studenter som skriver lettfattelig, presist og poengtert skal få uttelling for dette. Upresise og omstendelige drøftelser skal gi trekk. Særlig for de mest omfangsrike besvarelsene må sensorene være oppmerksomme på dette – dersom alle de ekstra ordene ikke tilfører noe særlig til drøftelsene, skal dette gi trekk. Overdreven bruk av avsnitt bør gi trekk dersom det stykker opp drøftelsene på et vis som gjør det vanskelig for leseren å få grep om helheten i studentens resonnement.</w:t>
      </w:r>
    </w:p>
    <w:p w14:paraId="2BC0FE44" w14:textId="77777777" w:rsidR="00660D22" w:rsidRPr="00827746" w:rsidRDefault="00660D22" w:rsidP="00F355FF">
      <w:pPr>
        <w:pStyle w:val="Overskrift3"/>
        <w:spacing w:before="360" w:after="120"/>
        <w:rPr>
          <w:rFonts w:eastAsia="Calibri"/>
          <w:spacing w:val="20"/>
          <w:szCs w:val="22"/>
        </w:rPr>
      </w:pPr>
      <w:r w:rsidRPr="00827746">
        <w:rPr>
          <w:rFonts w:eastAsia="Calibri"/>
          <w:spacing w:val="20"/>
          <w:szCs w:val="22"/>
        </w:rPr>
        <w:t>Til studenter som leser sensorveiledningen i et læringsperspektiv</w:t>
      </w:r>
    </w:p>
    <w:p w14:paraId="25E7351F" w14:textId="7F656262" w:rsidR="00660D22" w:rsidRDefault="00660D22" w:rsidP="00F355FF">
      <w:pPr>
        <w:spacing w:after="0" w:line="276" w:lineRule="auto"/>
        <w:rPr>
          <w:rFonts w:asciiTheme="majorHAnsi" w:hAnsiTheme="majorHAnsi"/>
        </w:rPr>
      </w:pPr>
      <w:r w:rsidRPr="00004DAA">
        <w:rPr>
          <w:rFonts w:asciiTheme="majorHAnsi" w:hAnsiTheme="majorHAnsi"/>
        </w:rPr>
        <w:t>Denne sensorveiledningen er utformet for å gi retningslinjer for sensorenes vurdering av eksamensbesvarelser i lys av læringsutbyttebeskrivelsen for emnet. Sensorene er høyt kvalifiserte jurister, med materielle og metodiske forkunnskaper på et høyere nivå enn studenter som har eller skal avlegge eksamen i dette emnet. Sensorene forutsettes dessuten å ha særlig kjennskap til de rettsområdene som de sensurer innenfor. Av denne grunn er det ikke gitt at alle forhold for sensuren av eksamensbesvarelsene er omtalt i denne veiledningen. Særlig gjelder dette «juridisk allmennkunnskap» som sensorene forutsettes å kjenne til, herunder den betydning som metodiske ferdigheter, skjønnsmessig disponering av den tilgjengelige tiden og plassen, hensiktsmessig struktur, presis begrepsbruk, godt språk mv. alltid vil ha for vurderingen av en eksamensbesvarelse. En sensorveiledning kan ikke leses som en oppskrift på hvordan en god eksamensbesvarelse bør se ut.</w:t>
      </w:r>
    </w:p>
    <w:p w14:paraId="6F7C515E" w14:textId="77777777" w:rsidR="00F355FF" w:rsidRPr="00004DAA" w:rsidRDefault="00F355FF" w:rsidP="00F355FF">
      <w:pPr>
        <w:spacing w:after="0" w:line="276" w:lineRule="auto"/>
        <w:rPr>
          <w:rFonts w:asciiTheme="majorHAnsi" w:hAnsiTheme="majorHAnsi"/>
        </w:rPr>
      </w:pPr>
    </w:p>
    <w:p w14:paraId="31EDA581" w14:textId="5C574C92" w:rsidR="00343095" w:rsidRDefault="00660D22" w:rsidP="00F355FF">
      <w:pPr>
        <w:spacing w:after="0" w:line="276" w:lineRule="auto"/>
        <w:rPr>
          <w:rFonts w:asciiTheme="majorHAnsi" w:hAnsiTheme="majorHAnsi"/>
        </w:rPr>
      </w:pPr>
      <w:r w:rsidRPr="00004DAA">
        <w:rPr>
          <w:rFonts w:asciiTheme="majorHAnsi" w:hAnsiTheme="majorHAnsi"/>
        </w:rPr>
        <w:t xml:space="preserve">Å arbeide med tidligere eksamensoppgaver kan være et nyttig innslag i læringsprosessen i et emne. Læringsutbyttet begrenses imidlertid betydelig dersom man ser på sensorveiledningen for tidlig i prosessen, fordi man da undergraver den problembaserte tilnærmingen som er en forutsetning for å løse nye juridiske </w:t>
      </w:r>
      <w:r w:rsidRPr="00004DAA">
        <w:rPr>
          <w:rFonts w:asciiTheme="majorHAnsi" w:hAnsiTheme="majorHAnsi"/>
        </w:rPr>
        <w:lastRenderedPageBreak/>
        <w:t>problemstillinger. Det er først etter at man har gjort et reelt forsøk på å løse oppgaven selv at det kan være nyttig å se på sensorveiledningen, som et hjelpemiddel til å vurdere styrker og svakheter med egen besvarelse.</w:t>
      </w:r>
    </w:p>
    <w:p w14:paraId="1A19F566" w14:textId="7530C978" w:rsidR="00EF41AD" w:rsidRPr="00827746" w:rsidRDefault="00967BE1" w:rsidP="00F355FF">
      <w:pPr>
        <w:pStyle w:val="Overskrift3"/>
        <w:spacing w:before="360" w:after="120"/>
        <w:rPr>
          <w:rFonts w:eastAsia="Calibri"/>
          <w:spacing w:val="20"/>
          <w:szCs w:val="22"/>
        </w:rPr>
      </w:pPr>
      <w:r w:rsidRPr="00827746">
        <w:rPr>
          <w:rFonts w:eastAsia="Calibri"/>
          <w:spacing w:val="20"/>
          <w:szCs w:val="22"/>
        </w:rPr>
        <w:t>Generell kvalitativ</w:t>
      </w:r>
      <w:r w:rsidR="00EF41AD" w:rsidRPr="00827746">
        <w:rPr>
          <w:rFonts w:eastAsia="Calibri"/>
          <w:spacing w:val="20"/>
          <w:szCs w:val="22"/>
        </w:rPr>
        <w:t xml:space="preserve"> beskrivelse av bokstavkarakterene </w:t>
      </w:r>
    </w:p>
    <w:tbl>
      <w:tblPr>
        <w:tblStyle w:val="Rutenettabell5mrkuthevingsfarge1"/>
        <w:tblW w:w="9634" w:type="dxa"/>
        <w:jc w:val="center"/>
        <w:tblLook w:val="0480" w:firstRow="0" w:lastRow="0" w:firstColumn="1" w:lastColumn="0" w:noHBand="0" w:noVBand="1"/>
      </w:tblPr>
      <w:tblGrid>
        <w:gridCol w:w="562"/>
        <w:gridCol w:w="9072"/>
      </w:tblGrid>
      <w:tr w:rsidR="008A3CE8" w14:paraId="04F270F7" w14:textId="77777777" w:rsidTr="00962CA6">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0E7F942"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A</w:t>
            </w:r>
          </w:p>
        </w:tc>
        <w:tc>
          <w:tcPr>
            <w:tcW w:w="9072" w:type="dxa"/>
            <w:vAlign w:val="center"/>
          </w:tcPr>
          <w:p w14:paraId="0E524374" w14:textId="77777777" w:rsidR="008A3CE8" w:rsidRPr="00962CA6" w:rsidRDefault="008A3CE8" w:rsidP="008A3CE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Fremragende: Fremragende prestasjon som klart utmerker seg. Kandidaten viser svært god vurderingsevne og stor grad av selvstendighet.  </w:t>
            </w:r>
          </w:p>
        </w:tc>
      </w:tr>
      <w:tr w:rsidR="008A3CE8" w14:paraId="0148F673" w14:textId="77777777" w:rsidTr="00962CA6">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3E47391"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B</w:t>
            </w:r>
          </w:p>
        </w:tc>
        <w:tc>
          <w:tcPr>
            <w:tcW w:w="9072" w:type="dxa"/>
            <w:vAlign w:val="center"/>
          </w:tcPr>
          <w:p w14:paraId="4E327896" w14:textId="77777777" w:rsidR="008A3CE8" w:rsidRPr="00962CA6" w:rsidRDefault="008A3CE8" w:rsidP="008A3CE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Meget god: Meget god prestasjon. Kandidaten viser meget god vurderingsevne og selvstendighet.  </w:t>
            </w:r>
          </w:p>
        </w:tc>
      </w:tr>
      <w:tr w:rsidR="008A3CE8" w14:paraId="58899819" w14:textId="77777777" w:rsidTr="00962CA6">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7235917"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C</w:t>
            </w:r>
          </w:p>
        </w:tc>
        <w:tc>
          <w:tcPr>
            <w:tcW w:w="9072" w:type="dxa"/>
            <w:vAlign w:val="center"/>
          </w:tcPr>
          <w:p w14:paraId="521DB3DA" w14:textId="77777777" w:rsidR="008A3CE8" w:rsidRPr="00962CA6" w:rsidRDefault="008A3CE8" w:rsidP="008A3CE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God: Jevnt god prestasjon som er tilfredsstillende på de fleste områder. Kandidaten viser god vurderingsevne og selvstendighet på de viktigste områdene.  </w:t>
            </w:r>
          </w:p>
        </w:tc>
      </w:tr>
      <w:tr w:rsidR="008A3CE8" w14:paraId="70AD706B" w14:textId="77777777" w:rsidTr="00962CA6">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19CD21F"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D</w:t>
            </w:r>
          </w:p>
        </w:tc>
        <w:tc>
          <w:tcPr>
            <w:tcW w:w="9072" w:type="dxa"/>
            <w:vAlign w:val="center"/>
          </w:tcPr>
          <w:p w14:paraId="6835BD56" w14:textId="77777777" w:rsidR="008A3CE8" w:rsidRPr="00962CA6" w:rsidRDefault="008A3CE8" w:rsidP="008A3CE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Nokså god: En akseptabel prestasjon med noen vesentlige mangler. Kandidaten viser en viss grad av vurderingsevne og selvstendighet.  </w:t>
            </w:r>
          </w:p>
        </w:tc>
      </w:tr>
      <w:tr w:rsidR="008A3CE8" w14:paraId="67C2DDFD" w14:textId="77777777" w:rsidTr="00962CA6">
        <w:trPr>
          <w:cnfStyle w:val="000000100000" w:firstRow="0" w:lastRow="0" w:firstColumn="0" w:lastColumn="0" w:oddVBand="0" w:evenVBand="0" w:oddHBand="1" w:evenHBand="0" w:firstRowFirstColumn="0" w:firstRowLastColumn="0" w:lastRowFirstColumn="0" w:lastRowLastColumn="0"/>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8BEB374"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E</w:t>
            </w:r>
          </w:p>
        </w:tc>
        <w:tc>
          <w:tcPr>
            <w:tcW w:w="9072" w:type="dxa"/>
            <w:shd w:val="clear" w:color="auto" w:fill="BDD6EE"/>
            <w:vAlign w:val="center"/>
          </w:tcPr>
          <w:p w14:paraId="56F74946" w14:textId="77777777" w:rsidR="008A3CE8" w:rsidRPr="00962CA6" w:rsidRDefault="008A3CE8" w:rsidP="008A3CE8">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 xml:space="preserve">Tilstrekkelig: Prestasjonen tilfredsstiller minimumskravene, men heller ikke mer. Kandidaten viser liten vurderingsevne og selvstendighet.  </w:t>
            </w:r>
          </w:p>
        </w:tc>
      </w:tr>
      <w:tr w:rsidR="008A3CE8" w14:paraId="2DCBA59D" w14:textId="77777777" w:rsidTr="00962CA6">
        <w:trPr>
          <w:trHeight w:val="812"/>
          <w:jc w:val="cent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9CB31C4" w14:textId="77777777" w:rsidR="008A3CE8" w:rsidRDefault="008A3CE8" w:rsidP="008A3CE8">
            <w:pPr>
              <w:spacing w:line="276" w:lineRule="auto"/>
              <w:jc w:val="center"/>
              <w:rPr>
                <w:rFonts w:asciiTheme="majorHAnsi" w:eastAsia="Calibri" w:hAnsiTheme="majorHAnsi" w:cs="Times New Roman"/>
              </w:rPr>
            </w:pPr>
            <w:r>
              <w:rPr>
                <w:rFonts w:asciiTheme="majorHAnsi" w:eastAsia="Calibri" w:hAnsiTheme="majorHAnsi" w:cs="Times New Roman"/>
              </w:rPr>
              <w:t>F</w:t>
            </w:r>
          </w:p>
        </w:tc>
        <w:tc>
          <w:tcPr>
            <w:tcW w:w="9072" w:type="dxa"/>
            <w:shd w:val="clear" w:color="auto" w:fill="DEEAF6"/>
            <w:vAlign w:val="center"/>
          </w:tcPr>
          <w:p w14:paraId="4340F389" w14:textId="77777777" w:rsidR="008A3CE8" w:rsidRPr="00962CA6" w:rsidRDefault="008A3CE8" w:rsidP="008A3CE8">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imes New Roman"/>
              </w:rPr>
            </w:pPr>
            <w:r w:rsidRPr="00962CA6">
              <w:rPr>
                <w:rFonts w:asciiTheme="majorHAnsi" w:eastAsia="Calibri" w:hAnsiTheme="majorHAnsi" w:cs="Times New Roman"/>
              </w:rPr>
              <w:t>Ikke bestått: Prestasjon som ikke tilfredsstiller de faglige minimumskravene. Kandidaten viser både manglende vurderingsevne og selvstendighet.</w:t>
            </w:r>
          </w:p>
        </w:tc>
      </w:tr>
    </w:tbl>
    <w:p w14:paraId="69794894" w14:textId="2A1BDB29" w:rsidR="008879D2" w:rsidRPr="00827746" w:rsidRDefault="00827746" w:rsidP="00F355FF">
      <w:pPr>
        <w:pStyle w:val="Overskrift3"/>
        <w:spacing w:before="360" w:after="120"/>
        <w:rPr>
          <w:rFonts w:eastAsia="Calibri"/>
          <w:spacing w:val="20"/>
          <w:szCs w:val="22"/>
        </w:rPr>
      </w:pPr>
      <w:r>
        <w:rPr>
          <w:rFonts w:eastAsia="Calibri"/>
          <w:spacing w:val="20"/>
          <w:szCs w:val="22"/>
        </w:rPr>
        <w:t>Grunnlag</w:t>
      </w:r>
      <w:r w:rsidR="008879D2" w:rsidRPr="00827746">
        <w:rPr>
          <w:rFonts w:eastAsia="Calibri"/>
          <w:spacing w:val="20"/>
          <w:szCs w:val="22"/>
        </w:rPr>
        <w:t xml:space="preserve"> for sensurvedtaket</w:t>
      </w:r>
      <w:r w:rsidRPr="00827746">
        <w:rPr>
          <w:rFonts w:eastAsia="Calibri"/>
          <w:spacing w:val="20"/>
          <w:szCs w:val="22"/>
        </w:rPr>
        <w:t xml:space="preserve"> skal være følgende formulering</w:t>
      </w:r>
      <w:r w:rsidR="00962CA6">
        <w:rPr>
          <w:rStyle w:val="Fotnotereferanse"/>
          <w:rFonts w:eastAsia="Calibri"/>
          <w:spacing w:val="20"/>
          <w:szCs w:val="22"/>
        </w:rPr>
        <w:footnoteReference w:id="1"/>
      </w:r>
      <w:r w:rsidRPr="00827746">
        <w:rPr>
          <w:rFonts w:eastAsia="Calibri"/>
          <w:spacing w:val="20"/>
          <w:szCs w:val="22"/>
        </w:rPr>
        <w:t>:</w:t>
      </w:r>
      <w:r w:rsidR="008879D2" w:rsidRPr="00827746">
        <w:rPr>
          <w:rFonts w:eastAsia="Calibri"/>
          <w:spacing w:val="20"/>
          <w:szCs w:val="22"/>
        </w:rPr>
        <w:t xml:space="preserve"> </w:t>
      </w:r>
    </w:p>
    <w:p w14:paraId="1B88DE9D" w14:textId="77777777" w:rsidR="00EF41AD" w:rsidRPr="00962CA6" w:rsidRDefault="00EF41AD" w:rsidP="008A3CE8">
      <w:pPr>
        <w:tabs>
          <w:tab w:val="left" w:pos="851"/>
        </w:tabs>
        <w:spacing w:line="276" w:lineRule="auto"/>
        <w:rPr>
          <w:rFonts w:asciiTheme="majorHAnsi" w:eastAsia="Calibri" w:hAnsiTheme="majorHAnsi" w:cs="Times New Roman"/>
        </w:rPr>
      </w:pPr>
      <w:r w:rsidRPr="00962CA6">
        <w:rPr>
          <w:rFonts w:asciiTheme="majorHAnsi" w:eastAsia="Calibri" w:hAnsiTheme="majorHAnsi" w:cs="Times New Roman"/>
        </w:rPr>
        <w:t>Måling av juridiske egenskaper og ferdigheter skjer etter en sammensatt vurdering av ulike kvaliteter. Det avgjørende for karakterfastsettelsen skal være totalinntrykket av kandidatens prestasjoner, sett i forhold til oppgaven som er gitt. Ulike besvarelser av samme oppgave kan således ha hver sine sterke og svake sider, og likevel bli ansett som likeverdige ved totalvurderingen. På bakgrunn av dette angis det ikke fagspesifikke beskrivelser i form av faste regler om hva som kjennetegner det enkelte karaktertrinn eller hvilke egenskaper som teller mest.</w:t>
      </w:r>
    </w:p>
    <w:p w14:paraId="1486BAAA" w14:textId="77777777" w:rsidR="00962CA6" w:rsidRPr="00962CA6" w:rsidRDefault="00962CA6" w:rsidP="00962CA6">
      <w:pPr>
        <w:spacing w:line="276" w:lineRule="auto"/>
        <w:rPr>
          <w:rFonts w:asciiTheme="majorHAnsi" w:hAnsiTheme="majorHAnsi"/>
        </w:rPr>
      </w:pPr>
      <w:r w:rsidRPr="00962CA6">
        <w:rPr>
          <w:rFonts w:asciiTheme="majorHAnsi" w:hAnsiTheme="majorHAnsi"/>
        </w:rPr>
        <w:t>Eksamensbesvarelsene skal vurderes ut fra karakterskalaen A-F, ev. Bestått/Ikke bestått.</w:t>
      </w:r>
    </w:p>
    <w:p w14:paraId="442557AD" w14:textId="6F99DA13" w:rsidR="00827746" w:rsidRPr="00962CA6" w:rsidRDefault="00EF41AD" w:rsidP="008A3CE8">
      <w:pPr>
        <w:tabs>
          <w:tab w:val="left" w:pos="851"/>
        </w:tabs>
        <w:spacing w:line="276" w:lineRule="auto"/>
        <w:rPr>
          <w:rFonts w:asciiTheme="majorHAnsi" w:eastAsia="Calibri" w:hAnsiTheme="majorHAnsi" w:cs="Times New Roman"/>
        </w:rPr>
      </w:pPr>
      <w:r w:rsidRPr="00962CA6">
        <w:rPr>
          <w:rFonts w:asciiTheme="majorHAnsi" w:eastAsia="Calibri" w:hAnsiTheme="majorHAnsi" w:cs="Times New Roman"/>
        </w:rPr>
        <w:t>Ved vurderingen av hvilke karaktertrinn som skal gis, ut fra de ovennevnte generelle beskrivelsene, vil det legges vekt på følgende ferdigheter i den totalvurderingen som skal foretas:</w:t>
      </w:r>
    </w:p>
    <w:tbl>
      <w:tblPr>
        <w:tblStyle w:val="Rutenettabell5mrkuthevingsfarge1"/>
        <w:tblW w:w="9634" w:type="dxa"/>
        <w:jc w:val="center"/>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9634"/>
      </w:tblGrid>
      <w:tr w:rsidR="00A5582A" w:rsidRPr="00962CA6" w14:paraId="60E290F9" w14:textId="77777777" w:rsidTr="00F355FF">
        <w:trPr>
          <w:cnfStyle w:val="100000000000" w:firstRow="1" w:lastRow="0" w:firstColumn="0" w:lastColumn="0" w:oddVBand="0" w:evenVBand="0" w:oddHBand="0" w:evenHBand="0" w:firstRowFirstColumn="0" w:firstRowLastColumn="0" w:lastRowFirstColumn="0" w:lastRowLastColumn="0"/>
          <w:trHeight w:val="783"/>
          <w:jc w:val="center"/>
        </w:trPr>
        <w:tc>
          <w:tcPr>
            <w:cnfStyle w:val="001000000000" w:firstRow="0" w:lastRow="0" w:firstColumn="1" w:lastColumn="0" w:oddVBand="0" w:evenVBand="0" w:oddHBand="0" w:evenHBand="0" w:firstRowFirstColumn="0" w:firstRowLastColumn="0" w:lastRowFirstColumn="0" w:lastRowLastColumn="0"/>
            <w:tcW w:w="9634" w:type="dxa"/>
            <w:tcBorders>
              <w:top w:val="none" w:sz="0" w:space="0" w:color="auto"/>
              <w:left w:val="none" w:sz="0" w:space="0" w:color="auto"/>
              <w:right w:val="none" w:sz="0" w:space="0" w:color="auto"/>
            </w:tcBorders>
            <w:shd w:val="clear" w:color="auto" w:fill="DEEAF6"/>
            <w:vAlign w:val="center"/>
          </w:tcPr>
          <w:p w14:paraId="07303EB6" w14:textId="4679AAE4"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 xml:space="preserve">Kunnskaper om og oversikt over oppgavens </w:t>
            </w:r>
            <w:r w:rsidR="00962CA6">
              <w:rPr>
                <w:rFonts w:asciiTheme="majorHAnsi" w:eastAsia="Calibri" w:hAnsiTheme="majorHAnsi" w:cs="Times New Roman"/>
                <w:b w:val="0"/>
                <w:color w:val="auto"/>
              </w:rPr>
              <w:t>tema og relevant bakgrunnsstoff.</w:t>
            </w:r>
          </w:p>
        </w:tc>
      </w:tr>
      <w:tr w:rsidR="00A5582A" w:rsidRPr="00962CA6" w14:paraId="3A15E9DA" w14:textId="77777777" w:rsidTr="00F355FF">
        <w:trPr>
          <w:cnfStyle w:val="000000100000" w:firstRow="0" w:lastRow="0" w:firstColumn="0" w:lastColumn="0" w:oddVBand="0" w:evenVBand="0" w:oddHBand="1" w:evenHBand="0" w:firstRowFirstColumn="0" w:firstRowLastColumn="0" w:lastRowFirstColumn="0" w:lastRowLastColumn="0"/>
          <w:trHeight w:val="933"/>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BDD6EE"/>
            <w:vAlign w:val="center"/>
          </w:tcPr>
          <w:p w14:paraId="6EE09DE2" w14:textId="45FE28E9"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Evne til å finne frem til og formulere rettslige problemstillinger, herunder skille mellom ulike problemer, prinsipale og subsidiære spørsmål, samt evne til å sette spørsmå</w:t>
            </w:r>
            <w:r w:rsidR="00962CA6">
              <w:rPr>
                <w:rFonts w:asciiTheme="majorHAnsi" w:eastAsia="Calibri" w:hAnsiTheme="majorHAnsi" w:cs="Times New Roman"/>
                <w:b w:val="0"/>
                <w:color w:val="auto"/>
              </w:rPr>
              <w:t>lene inn i sin rette sammenheng.</w:t>
            </w:r>
          </w:p>
        </w:tc>
      </w:tr>
      <w:tr w:rsidR="00A5582A" w:rsidRPr="00962CA6" w14:paraId="5B5AAF45" w14:textId="77777777" w:rsidTr="00F355FF">
        <w:trPr>
          <w:trHeight w:val="1447"/>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DEEAF6"/>
            <w:vAlign w:val="center"/>
          </w:tcPr>
          <w:p w14:paraId="75B928AF" w14:textId="2C58E538"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lastRenderedPageBreak/>
              <w:t>Evne til å drøfte spørsmål på en faglig forsvarlig og skjønnsom måte, og utnytte det foreliggende rettsstoff og faktum i samsvar med fagets metodiske prinsipper. Til dette hører også blikk for hva som er vesentlig i forhold til det som er uvesentlig eller irrelevant, til å skille mellom det sikre og det tvilsomme, samt til å dimensjonere stoffvalg og propo</w:t>
            </w:r>
            <w:r w:rsidR="00962CA6">
              <w:rPr>
                <w:rFonts w:asciiTheme="majorHAnsi" w:eastAsia="Calibri" w:hAnsiTheme="majorHAnsi" w:cs="Times New Roman"/>
                <w:b w:val="0"/>
                <w:color w:val="auto"/>
              </w:rPr>
              <w:t>rsjoner i besvarelsen fornuftig.</w:t>
            </w:r>
          </w:p>
        </w:tc>
      </w:tr>
      <w:tr w:rsidR="00A5582A" w:rsidRPr="00962CA6" w14:paraId="21AF7221" w14:textId="77777777" w:rsidTr="00F355FF">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BDD6EE"/>
            <w:vAlign w:val="center"/>
          </w:tcPr>
          <w:p w14:paraId="4102C0E9" w14:textId="2B90B367"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 xml:space="preserve">Blikk for rettspolitiske dimensjoner innenfor oppgavens tema, dog uten å tape av syne grensen mellom vurderingers betydning </w:t>
            </w:r>
            <w:r w:rsidR="00962CA6">
              <w:rPr>
                <w:rFonts w:asciiTheme="majorHAnsi" w:eastAsia="Calibri" w:hAnsiTheme="majorHAnsi" w:cs="Times New Roman"/>
                <w:b w:val="0"/>
                <w:color w:val="auto"/>
              </w:rPr>
              <w:t xml:space="preserve">de lege lata og de lege </w:t>
            </w:r>
            <w:proofErr w:type="spellStart"/>
            <w:r w:rsidR="00962CA6">
              <w:rPr>
                <w:rFonts w:asciiTheme="majorHAnsi" w:eastAsia="Calibri" w:hAnsiTheme="majorHAnsi" w:cs="Times New Roman"/>
                <w:b w:val="0"/>
                <w:color w:val="auto"/>
              </w:rPr>
              <w:t>ferenda</w:t>
            </w:r>
            <w:proofErr w:type="spellEnd"/>
            <w:r w:rsidR="00962CA6">
              <w:rPr>
                <w:rFonts w:asciiTheme="majorHAnsi" w:eastAsia="Calibri" w:hAnsiTheme="majorHAnsi" w:cs="Times New Roman"/>
                <w:b w:val="0"/>
                <w:color w:val="auto"/>
              </w:rPr>
              <w:t>.</w:t>
            </w:r>
          </w:p>
        </w:tc>
      </w:tr>
      <w:tr w:rsidR="00A5582A" w:rsidRPr="00962CA6" w14:paraId="1893C706" w14:textId="77777777" w:rsidTr="00F355FF">
        <w:trPr>
          <w:trHeight w:val="885"/>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tcBorders>
            <w:shd w:val="clear" w:color="auto" w:fill="DEEAF6"/>
            <w:vAlign w:val="center"/>
          </w:tcPr>
          <w:p w14:paraId="62BA1A67" w14:textId="2D097705"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Selvstendighet ved evne til å resonnere kritisk og uavhengig i forhold til foreliggende læremidler og undervisni</w:t>
            </w:r>
            <w:r w:rsidR="00962CA6">
              <w:rPr>
                <w:rFonts w:asciiTheme="majorHAnsi" w:eastAsia="Calibri" w:hAnsiTheme="majorHAnsi" w:cs="Times New Roman"/>
                <w:b w:val="0"/>
                <w:color w:val="auto"/>
              </w:rPr>
              <w:t>ng.</w:t>
            </w:r>
          </w:p>
        </w:tc>
      </w:tr>
      <w:tr w:rsidR="00A5582A" w:rsidRPr="00962CA6" w14:paraId="547F3E87" w14:textId="77777777" w:rsidTr="00F355FF">
        <w:trPr>
          <w:cnfStyle w:val="000000100000" w:firstRow="0" w:lastRow="0" w:firstColumn="0" w:lastColumn="0" w:oddVBand="0" w:evenVBand="0" w:oddHBand="1" w:evenHBand="0" w:firstRowFirstColumn="0" w:firstRowLastColumn="0" w:lastRowFirstColumn="0" w:lastRowLastColumn="0"/>
          <w:trHeight w:val="885"/>
          <w:jc w:val="center"/>
        </w:trPr>
        <w:tc>
          <w:tcPr>
            <w:cnfStyle w:val="001000000000" w:firstRow="0" w:lastRow="0" w:firstColumn="1" w:lastColumn="0" w:oddVBand="0" w:evenVBand="0" w:oddHBand="0" w:evenHBand="0" w:firstRowFirstColumn="0" w:firstRowLastColumn="0" w:lastRowFirstColumn="0" w:lastRowLastColumn="0"/>
            <w:tcW w:w="9634" w:type="dxa"/>
            <w:tcBorders>
              <w:left w:val="none" w:sz="0" w:space="0" w:color="auto"/>
              <w:bottom w:val="none" w:sz="0" w:space="0" w:color="auto"/>
            </w:tcBorders>
            <w:shd w:val="clear" w:color="auto" w:fill="BDD6EE"/>
            <w:vAlign w:val="center"/>
          </w:tcPr>
          <w:p w14:paraId="7846F057" w14:textId="5C9C5530" w:rsidR="00A5582A" w:rsidRPr="00962CA6" w:rsidRDefault="00A5582A" w:rsidP="00962CA6">
            <w:pPr>
              <w:tabs>
                <w:tab w:val="left" w:pos="851"/>
              </w:tabs>
              <w:rPr>
                <w:rFonts w:asciiTheme="majorHAnsi" w:eastAsia="Calibri" w:hAnsiTheme="majorHAnsi" w:cs="Times New Roman"/>
                <w:b w:val="0"/>
                <w:color w:val="auto"/>
              </w:rPr>
            </w:pPr>
            <w:r w:rsidRPr="00962CA6">
              <w:rPr>
                <w:rFonts w:asciiTheme="majorHAnsi" w:eastAsia="Calibri" w:hAnsiTheme="majorHAnsi" w:cs="Times New Roman"/>
                <w:b w:val="0"/>
                <w:color w:val="auto"/>
              </w:rPr>
              <w:t>Språkbeherskelse, fremstillingsevne, presisjonsnivå og systematisk ryddighet ved skriftlig og muntlig redegjørelse for fagjuridiske emner.</w:t>
            </w:r>
          </w:p>
        </w:tc>
      </w:tr>
    </w:tbl>
    <w:p w14:paraId="1203CA40" w14:textId="7937AECD" w:rsidR="008A423A" w:rsidRPr="008A423A" w:rsidRDefault="00EF41AD" w:rsidP="00FC2124">
      <w:pPr>
        <w:tabs>
          <w:tab w:val="left" w:pos="851"/>
        </w:tabs>
        <w:spacing w:before="240" w:line="276" w:lineRule="auto"/>
        <w:rPr>
          <w:rFonts w:asciiTheme="majorHAnsi" w:eastAsia="Calibri" w:hAnsiTheme="majorHAnsi" w:cs="Times New Roman"/>
        </w:rPr>
      </w:pPr>
      <w:r w:rsidRPr="00962CA6">
        <w:rPr>
          <w:rFonts w:asciiTheme="majorHAnsi" w:eastAsia="Calibri" w:hAnsiTheme="majorHAnsi" w:cs="Times New Roman"/>
        </w:rPr>
        <w:t>Ferdighetene vil i varierende grad inngå ved den faglige totalvurderingen, og er ikke uttømmende angitt eller prioritert.</w:t>
      </w:r>
    </w:p>
    <w:p w14:paraId="46278F69" w14:textId="77777777" w:rsidR="008A423A" w:rsidRPr="008A423A" w:rsidRDefault="008A423A" w:rsidP="008A423A">
      <w:pPr>
        <w:rPr>
          <w:rFonts w:asciiTheme="majorHAnsi" w:eastAsia="Calibri" w:hAnsiTheme="majorHAnsi" w:cs="Times New Roman"/>
        </w:rPr>
      </w:pPr>
      <w:bookmarkStart w:id="0" w:name="_GoBack"/>
      <w:bookmarkEnd w:id="0"/>
    </w:p>
    <w:p w14:paraId="32D1C2A0" w14:textId="77777777" w:rsidR="00EF41AD" w:rsidRPr="00962CA6" w:rsidRDefault="008A3CE8" w:rsidP="00962CA6">
      <w:pPr>
        <w:pStyle w:val="Overskrift3"/>
        <w:spacing w:before="240" w:after="120"/>
        <w:rPr>
          <w:rFonts w:eastAsia="Calibri"/>
          <w:spacing w:val="20"/>
          <w:szCs w:val="22"/>
        </w:rPr>
      </w:pPr>
      <w:r w:rsidRPr="00962CA6">
        <w:rPr>
          <w:rFonts w:eastAsia="Calibri"/>
          <w:spacing w:val="20"/>
          <w:szCs w:val="22"/>
        </w:rPr>
        <w:t>Vurderingen av eksamensprestasjonene skal ta utgangspunkt i læringsutbyttebeskrivelsen.</w:t>
      </w:r>
    </w:p>
    <w:p w14:paraId="34244BF1" w14:textId="501AB6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[sett inn læringsutbyttebeskrivelsen for det aktuelle emnet her]</w:t>
      </w:r>
    </w:p>
    <w:p w14:paraId="6F8231E4"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[følg opp med en (kort) omtale av hvilke deler av læringsutbyttebeskrivelsen som anses særlig relevant for den aktuelle sensuren]</w:t>
      </w:r>
    </w:p>
    <w:p w14:paraId="70C0F3C2" w14:textId="77777777" w:rsidR="00EF41AD" w:rsidRPr="008A3CE8" w:rsidRDefault="00EF41AD" w:rsidP="008A3CE8">
      <w:pPr>
        <w:spacing w:line="276" w:lineRule="auto"/>
        <w:rPr>
          <w:rFonts w:asciiTheme="majorHAnsi" w:eastAsia="Calibri" w:hAnsiTheme="majorHAnsi" w:cs="Times New Roman"/>
        </w:rPr>
      </w:pPr>
    </w:p>
    <w:p w14:paraId="3554441A" w14:textId="77777777" w:rsidR="00EF41AD" w:rsidRPr="00962CA6" w:rsidRDefault="008A3CE8" w:rsidP="00962CA6">
      <w:pPr>
        <w:pStyle w:val="Overskrift3"/>
        <w:spacing w:before="240" w:after="120"/>
        <w:rPr>
          <w:rFonts w:eastAsia="Calibri"/>
          <w:spacing w:val="20"/>
          <w:szCs w:val="22"/>
        </w:rPr>
      </w:pPr>
      <w:r w:rsidRPr="00962CA6">
        <w:rPr>
          <w:rFonts w:eastAsia="Calibri"/>
          <w:spacing w:val="20"/>
          <w:szCs w:val="22"/>
        </w:rPr>
        <w:t>Kort om prøvingsformen</w:t>
      </w:r>
    </w:p>
    <w:p w14:paraId="7CC55F33"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[skoleeksamen, hjemmeeksamen, varighet, tilgang på kilder/hjelpemidler]</w:t>
      </w:r>
    </w:p>
    <w:p w14:paraId="3AE22BDA"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[for kontinuasjonseksamener: påpek forskjellene i studentpopulasjonen sammenlignet med ordinær eksamen]</w:t>
      </w:r>
    </w:p>
    <w:p w14:paraId="11B91BA5" w14:textId="77777777" w:rsidR="00EF41AD" w:rsidRPr="00962CA6" w:rsidRDefault="00EF41AD" w:rsidP="00962CA6">
      <w:pPr>
        <w:spacing w:line="276" w:lineRule="auto"/>
        <w:rPr>
          <w:rFonts w:asciiTheme="majorHAnsi" w:eastAsia="Calibri" w:hAnsiTheme="majorHAnsi" w:cstheme="majorBidi"/>
          <w:spacing w:val="20"/>
        </w:rPr>
      </w:pPr>
    </w:p>
    <w:p w14:paraId="05664D6E" w14:textId="77777777" w:rsidR="00EF41AD" w:rsidRPr="00962CA6" w:rsidRDefault="008A3CE8" w:rsidP="00962CA6">
      <w:pPr>
        <w:pStyle w:val="Overskrift3"/>
        <w:spacing w:before="240" w:after="120"/>
        <w:rPr>
          <w:rFonts w:eastAsia="Calibri"/>
          <w:spacing w:val="20"/>
          <w:szCs w:val="22"/>
        </w:rPr>
      </w:pPr>
      <w:r w:rsidRPr="00962CA6">
        <w:rPr>
          <w:rFonts w:eastAsia="Calibri"/>
          <w:spacing w:val="20"/>
          <w:szCs w:val="22"/>
        </w:rPr>
        <w:t>Kort om den aktuelle eksamensoppgaven</w:t>
      </w:r>
    </w:p>
    <w:p w14:paraId="40B52930"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[forholdet til hovedlitteratur, tilleggslitteratur, læringsaktiviteter mv.]</w:t>
      </w:r>
    </w:p>
    <w:p w14:paraId="00F9E112"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[sett inn litteraturlisten for emnet her]</w:t>
      </w:r>
    </w:p>
    <w:p w14:paraId="0D3C1FB9"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[stikkordsmessig omtale av materielle eller metodiske poeng som antas å være særlig relevante for sensuren. For oppgaver med flere deler/delspørsmål bør det sies litt om hver av delene/spørsmålene. Dersom det henvises til litteratur som ikke er hovedlitteratur, skal dette framgå.]</w:t>
      </w:r>
    </w:p>
    <w:p w14:paraId="5699A7D1"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t>[særlig omtale av forhold av betydning ved tvilstilfeller, især i forhold til strykgrensen.]</w:t>
      </w:r>
    </w:p>
    <w:p w14:paraId="5FC7D753" w14:textId="77777777" w:rsidR="00EF41AD" w:rsidRPr="008A3CE8" w:rsidRDefault="008A3CE8" w:rsidP="008A3CE8">
      <w:pPr>
        <w:spacing w:line="276" w:lineRule="auto"/>
        <w:rPr>
          <w:rFonts w:asciiTheme="majorHAnsi" w:eastAsia="Calibri" w:hAnsiTheme="majorHAnsi" w:cs="Times New Roman"/>
        </w:rPr>
      </w:pPr>
      <w:r w:rsidRPr="008A3CE8">
        <w:rPr>
          <w:rFonts w:asciiTheme="majorHAnsi" w:eastAsia="Calibri" w:hAnsiTheme="majorHAnsi" w:cs="Times New Roman"/>
        </w:rPr>
        <w:lastRenderedPageBreak/>
        <w:t>[særskilt for hjemmeeksamener: omtale av hvilken vekt som skal legges på henvisninger, kildetilfang, litteraturliste mv.]</w:t>
      </w:r>
    </w:p>
    <w:p w14:paraId="5E986AE1" w14:textId="1BC87BC6" w:rsidR="006418A7" w:rsidRPr="003A69FF" w:rsidRDefault="008A3CE8" w:rsidP="008A3CE8">
      <w:pPr>
        <w:spacing w:line="276" w:lineRule="auto"/>
        <w:rPr>
          <w:rFonts w:asciiTheme="majorHAnsi" w:hAnsiTheme="majorHAnsi"/>
        </w:rPr>
      </w:pPr>
      <w:r w:rsidRPr="003A69FF">
        <w:rPr>
          <w:rFonts w:asciiTheme="majorHAnsi" w:eastAsia="Calibri" w:hAnsiTheme="majorHAnsi" w:cs="Times New Roman"/>
        </w:rPr>
        <w:t>[særskilt for engelskspråklige eksamener: mindre vekt på språk enn for eksamensbesvarelser i norskspråklige emner]</w:t>
      </w:r>
    </w:p>
    <w:sectPr w:rsidR="006418A7" w:rsidRPr="003A69FF" w:rsidSect="0082774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07201" w14:textId="77777777" w:rsidR="00393EC1" w:rsidRDefault="00393EC1" w:rsidP="00660D22">
      <w:pPr>
        <w:spacing w:after="0" w:line="240" w:lineRule="auto"/>
      </w:pPr>
      <w:r>
        <w:separator/>
      </w:r>
    </w:p>
  </w:endnote>
  <w:endnote w:type="continuationSeparator" w:id="0">
    <w:p w14:paraId="5A003A9C" w14:textId="77777777" w:rsidR="00393EC1" w:rsidRDefault="00393EC1" w:rsidP="0066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73E8" w14:textId="77777777" w:rsidR="008A423A" w:rsidRDefault="008A423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1F5C5" w14:textId="461E4701" w:rsidR="008A423A" w:rsidRPr="00343095" w:rsidRDefault="00343095" w:rsidP="008A423A">
    <w:pPr>
      <w:spacing w:before="240" w:line="276" w:lineRule="auto"/>
      <w:jc w:val="center"/>
      <w:rPr>
        <w:rFonts w:asciiTheme="majorHAnsi" w:eastAsia="Calibri" w:hAnsiTheme="majorHAnsi" w:cs="Times New Roman"/>
        <w:color w:val="1F4E79" w:themeColor="accent1" w:themeShade="80"/>
        <w:spacing w:val="30"/>
        <w:sz w:val="18"/>
        <w:szCs w:val="28"/>
      </w:rPr>
    </w:pPr>
    <w:r w:rsidRPr="00343095">
      <w:rPr>
        <w:rFonts w:asciiTheme="majorHAnsi" w:eastAsia="Calibri" w:hAnsiTheme="majorHAnsi" w:cs="Times New Roman"/>
        <w:color w:val="1F4E79" w:themeColor="accent1" w:themeShade="80"/>
        <w:spacing w:val="30"/>
        <w:sz w:val="18"/>
        <w:szCs w:val="28"/>
      </w:rPr>
      <w:t>Sensorveilednin</w:t>
    </w:r>
    <w:r w:rsidR="008A423A">
      <w:rPr>
        <w:rFonts w:asciiTheme="majorHAnsi" w:eastAsia="Calibri" w:hAnsiTheme="majorHAnsi" w:cs="Times New Roman"/>
        <w:color w:val="1F4E79" w:themeColor="accent1" w:themeShade="80"/>
        <w:spacing w:val="30"/>
        <w:sz w:val="18"/>
        <w:szCs w:val="28"/>
      </w:rPr>
      <w:t>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AAD30" w14:textId="77777777" w:rsidR="008A423A" w:rsidRDefault="008A423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EFDA" w14:textId="77777777" w:rsidR="00393EC1" w:rsidRDefault="00393EC1" w:rsidP="00660D22">
      <w:pPr>
        <w:spacing w:after="0" w:line="240" w:lineRule="auto"/>
      </w:pPr>
      <w:r>
        <w:separator/>
      </w:r>
    </w:p>
  </w:footnote>
  <w:footnote w:type="continuationSeparator" w:id="0">
    <w:p w14:paraId="2545FD96" w14:textId="77777777" w:rsidR="00393EC1" w:rsidRDefault="00393EC1" w:rsidP="00660D22">
      <w:pPr>
        <w:spacing w:after="0" w:line="240" w:lineRule="auto"/>
      </w:pPr>
      <w:r>
        <w:continuationSeparator/>
      </w:r>
    </w:p>
  </w:footnote>
  <w:footnote w:id="1">
    <w:p w14:paraId="09B37190" w14:textId="411A1DC8" w:rsidR="00962CA6" w:rsidRDefault="00962CA6">
      <w:pPr>
        <w:pStyle w:val="Fotnotetekst"/>
      </w:pPr>
      <w:r>
        <w:rPr>
          <w:rStyle w:val="Fotnotereferanse"/>
        </w:rPr>
        <w:footnoteRef/>
      </w:r>
      <w:r>
        <w:t xml:space="preserve"> </w:t>
      </w:r>
      <w:r w:rsidRPr="00962CA6">
        <w:rPr>
          <w:rFonts w:asciiTheme="majorHAnsi" w:hAnsiTheme="majorHAnsi"/>
          <w:sz w:val="18"/>
        </w:rPr>
        <w:t>Hentet fra "</w:t>
      </w:r>
      <w:hyperlink r:id="rId1" w:history="1">
        <w:r w:rsidRPr="00D46074">
          <w:rPr>
            <w:rStyle w:val="Hyperkobling"/>
            <w:rFonts w:asciiTheme="majorHAnsi" w:hAnsiTheme="majorHAnsi"/>
            <w:sz w:val="18"/>
          </w:rPr>
          <w:t>Utfyllende retningslinjer for karakterfastsettelse i juridiske fag</w:t>
        </w:r>
      </w:hyperlink>
      <w:r w:rsidRPr="00962CA6">
        <w:rPr>
          <w:rFonts w:asciiTheme="majorHAnsi" w:hAnsiTheme="majorHAnsi"/>
          <w:sz w:val="18"/>
        </w:rPr>
        <w:t>", fastsatt av Det nasjonale fakultetsmøtet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91E1" w14:textId="77777777" w:rsidR="008A423A" w:rsidRDefault="008A423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4104" w14:textId="1970848A" w:rsidR="00660D22" w:rsidRPr="00660D22" w:rsidRDefault="00343095" w:rsidP="00660D22">
    <w:pPr>
      <w:spacing w:line="276" w:lineRule="auto"/>
      <w:rPr>
        <w:rFonts w:asciiTheme="majorHAnsi" w:eastAsia="Calibri" w:hAnsiTheme="majorHAnsi" w:cs="Times New Roman"/>
        <w:color w:val="1F4E79" w:themeColor="accent1" w:themeShade="80"/>
        <w:sz w:val="18"/>
        <w:szCs w:val="28"/>
      </w:rPr>
    </w:pPr>
    <w:r>
      <w:rPr>
        <w:noProof/>
        <w:lang w:eastAsia="nb-NO"/>
      </w:rPr>
      <w:drawing>
        <wp:anchor distT="0" distB="0" distL="114300" distR="114300" simplePos="0" relativeHeight="251658240" behindDoc="0" locked="0" layoutInCell="1" allowOverlap="1" wp14:anchorId="5DF38DD1" wp14:editId="7FD9E20B">
          <wp:simplePos x="0" y="0"/>
          <wp:positionH relativeFrom="column">
            <wp:posOffset>-86155</wp:posOffset>
          </wp:positionH>
          <wp:positionV relativeFrom="paragraph">
            <wp:posOffset>-90640</wp:posOffset>
          </wp:positionV>
          <wp:extent cx="3071550" cy="613096"/>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071550" cy="61309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41226" w14:textId="77777777" w:rsidR="008A423A" w:rsidRDefault="008A423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0823C1"/>
    <w:multiLevelType w:val="hybridMultilevel"/>
    <w:tmpl w:val="B5DC37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AD"/>
    <w:rsid w:val="000635F1"/>
    <w:rsid w:val="001576EC"/>
    <w:rsid w:val="001F3B84"/>
    <w:rsid w:val="002054AE"/>
    <w:rsid w:val="002562FF"/>
    <w:rsid w:val="00343095"/>
    <w:rsid w:val="003519D9"/>
    <w:rsid w:val="00393EC1"/>
    <w:rsid w:val="003A69FF"/>
    <w:rsid w:val="00424AF3"/>
    <w:rsid w:val="00446223"/>
    <w:rsid w:val="00590FE4"/>
    <w:rsid w:val="005D1B17"/>
    <w:rsid w:val="006418A7"/>
    <w:rsid w:val="00660D22"/>
    <w:rsid w:val="0072374A"/>
    <w:rsid w:val="00827746"/>
    <w:rsid w:val="0084281D"/>
    <w:rsid w:val="00877A2C"/>
    <w:rsid w:val="008879D2"/>
    <w:rsid w:val="008A3CE8"/>
    <w:rsid w:val="008A423A"/>
    <w:rsid w:val="008C2CAC"/>
    <w:rsid w:val="00962CA6"/>
    <w:rsid w:val="00967BE1"/>
    <w:rsid w:val="0098207F"/>
    <w:rsid w:val="00A5582A"/>
    <w:rsid w:val="00AA6CF3"/>
    <w:rsid w:val="00C94BEE"/>
    <w:rsid w:val="00D46074"/>
    <w:rsid w:val="00E4464B"/>
    <w:rsid w:val="00EF41AD"/>
    <w:rsid w:val="00F355FF"/>
    <w:rsid w:val="00F50DB7"/>
    <w:rsid w:val="00F803B0"/>
    <w:rsid w:val="00F90AF3"/>
    <w:rsid w:val="00F96547"/>
    <w:rsid w:val="00FC2124"/>
    <w:rsid w:val="00FC5303"/>
    <w:rsid w:val="00FE0C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9DACB"/>
  <w15:chartTrackingRefBased/>
  <w15:docId w15:val="{BC851C47-D2A7-42B2-91B4-721E7BEE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1AD"/>
  </w:style>
  <w:style w:type="paragraph" w:styleId="Overskrift2">
    <w:name w:val="heading 2"/>
    <w:basedOn w:val="Normal"/>
    <w:next w:val="Normal"/>
    <w:link w:val="Overskrift2Tegn"/>
    <w:uiPriority w:val="9"/>
    <w:unhideWhenUsed/>
    <w:qFormat/>
    <w:rsid w:val="00967B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8277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A3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1">
    <w:name w:val="Grid Table 5 Dark Accent 1"/>
    <w:basedOn w:val="Vanligtabell"/>
    <w:uiPriority w:val="50"/>
    <w:rsid w:val="008A3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ttel">
    <w:name w:val="Title"/>
    <w:basedOn w:val="Normal"/>
    <w:next w:val="Normal"/>
    <w:link w:val="TittelTegn"/>
    <w:uiPriority w:val="10"/>
    <w:qFormat/>
    <w:rsid w:val="008A3C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A3CE8"/>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uiPriority w:val="9"/>
    <w:rsid w:val="00967BE1"/>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660D2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60D22"/>
  </w:style>
  <w:style w:type="paragraph" w:styleId="Bunntekst">
    <w:name w:val="footer"/>
    <w:basedOn w:val="Normal"/>
    <w:link w:val="BunntekstTegn"/>
    <w:uiPriority w:val="99"/>
    <w:unhideWhenUsed/>
    <w:rsid w:val="00660D2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60D22"/>
  </w:style>
  <w:style w:type="paragraph" w:styleId="Fotnotetekst">
    <w:name w:val="footnote text"/>
    <w:basedOn w:val="Normal"/>
    <w:link w:val="FotnotetekstTegn"/>
    <w:uiPriority w:val="99"/>
    <w:semiHidden/>
    <w:unhideWhenUsed/>
    <w:rsid w:val="0082774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827746"/>
    <w:rPr>
      <w:sz w:val="20"/>
      <w:szCs w:val="20"/>
    </w:rPr>
  </w:style>
  <w:style w:type="character" w:styleId="Fotnotereferanse">
    <w:name w:val="footnote reference"/>
    <w:basedOn w:val="Standardskriftforavsnitt"/>
    <w:uiPriority w:val="99"/>
    <w:semiHidden/>
    <w:unhideWhenUsed/>
    <w:rsid w:val="00827746"/>
    <w:rPr>
      <w:vertAlign w:val="superscript"/>
    </w:rPr>
  </w:style>
  <w:style w:type="character" w:customStyle="1" w:styleId="Overskrift3Tegn">
    <w:name w:val="Overskrift 3 Tegn"/>
    <w:basedOn w:val="Standardskriftforavsnitt"/>
    <w:link w:val="Overskrift3"/>
    <w:uiPriority w:val="9"/>
    <w:rsid w:val="00827746"/>
    <w:rPr>
      <w:rFonts w:asciiTheme="majorHAnsi" w:eastAsiaTheme="majorEastAsia" w:hAnsiTheme="majorHAnsi" w:cstheme="majorBidi"/>
      <w:color w:val="1F4D78" w:themeColor="accent1" w:themeShade="7F"/>
      <w:sz w:val="24"/>
      <w:szCs w:val="24"/>
    </w:rPr>
  </w:style>
  <w:style w:type="character" w:styleId="Hyperkobling">
    <w:name w:val="Hyperlink"/>
    <w:basedOn w:val="Standardskriftforavsnitt"/>
    <w:uiPriority w:val="99"/>
    <w:unhideWhenUsed/>
    <w:rsid w:val="00962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no/jur/23629/retningsliner-karakterfastsetj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uib.no/jur/23629/retningsliner-karakterfastsetj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74604-31A5-4F64-B745-C5135DC6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B16DC91F.dotm</Template>
  <TotalTime>1</TotalTime>
  <Pages>4</Pages>
  <Words>1263</Words>
  <Characters>6700</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Spjelkavik</dc:creator>
  <cp:keywords/>
  <dc:description/>
  <cp:lastModifiedBy>Kjersti Bakke Sørensen</cp:lastModifiedBy>
  <cp:revision>4</cp:revision>
  <dcterms:created xsi:type="dcterms:W3CDTF">2019-06-11T12:46:00Z</dcterms:created>
  <dcterms:modified xsi:type="dcterms:W3CDTF">2019-06-11T12:47:00Z</dcterms:modified>
</cp:coreProperties>
</file>