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F8D599" w14:textId="77777777" w:rsidR="0091098B" w:rsidRDefault="0091098B" w:rsidP="0091098B">
      <w:pPr>
        <w:pStyle w:val="Overskrift1"/>
      </w:pPr>
      <w:r>
        <w:t>S</w:t>
      </w:r>
      <w:r>
        <w:t>tandardtekst f</w:t>
      </w:r>
      <w:r w:rsidRPr="00E47287">
        <w:t xml:space="preserve">or emner som </w:t>
      </w:r>
      <w:r w:rsidRPr="0091098B">
        <w:rPr>
          <w:i/>
          <w:iCs/>
        </w:rPr>
        <w:t>ikke</w:t>
      </w:r>
      <w:r w:rsidRPr="00E47287">
        <w:t xml:space="preserve"> skal ha tillegg til hovedregelen</w:t>
      </w:r>
      <w:r>
        <w:t xml:space="preserve"> </w:t>
      </w:r>
    </w:p>
    <w:p w14:paraId="5B5C55C4" w14:textId="610911B2" w:rsidR="0091098B" w:rsidRPr="0091098B" w:rsidRDefault="0091098B" w:rsidP="0091098B">
      <w:pPr>
        <w:pStyle w:val="Overskrift3"/>
      </w:pPr>
      <w:r w:rsidRPr="0091098B">
        <w:t>Digitale hjelpemidler</w:t>
      </w:r>
    </w:p>
    <w:p w14:paraId="0053304D" w14:textId="329522DA" w:rsidR="0091098B" w:rsidRDefault="0091098B" w:rsidP="0091098B">
      <w:r>
        <w:t xml:space="preserve">Se </w:t>
      </w:r>
      <w:hyperlink r:id="rId5" w:anchor="kapittel-3-eksamen-rettigheter-og-plikter-for-studentene" w:history="1">
        <w:r w:rsidRPr="0091098B">
          <w:rPr>
            <w:rStyle w:val="Hyperkobling"/>
          </w:rPr>
          <w:t>fakultetets utfyllende regler</w:t>
        </w:r>
      </w:hyperlink>
      <w:r>
        <w:t xml:space="preserve"> § 3-5 a. Digitale utgaver av Bokmålsordboka og Nynorskordboka vil være tilgjengelige i Inspera under eksamen.</w:t>
      </w:r>
    </w:p>
    <w:p w14:paraId="7D0B3F14" w14:textId="069F37DF" w:rsidR="0091098B" w:rsidRDefault="0091098B" w:rsidP="0091098B">
      <w:r>
        <w:t>I dette emnet er det ingen ekstra hjelpemidler.</w:t>
      </w:r>
    </w:p>
    <w:p w14:paraId="3F9F7C69" w14:textId="77777777" w:rsidR="0091098B" w:rsidRPr="0091098B" w:rsidRDefault="0091098B" w:rsidP="0091098B">
      <w:pPr>
        <w:pStyle w:val="Overskrift3"/>
      </w:pPr>
      <w:r w:rsidRPr="0091098B">
        <w:t>Analoge hjelpemidler</w:t>
      </w:r>
    </w:p>
    <w:p w14:paraId="6474A3DB" w14:textId="468B4C23" w:rsidR="0091098B" w:rsidRDefault="0091098B" w:rsidP="0091098B">
      <w:r>
        <w:t>Analoge hjelpemidler er utfaset fra og med studieåret 2020/21, se</w:t>
      </w:r>
      <w:r>
        <w:t xml:space="preserve"> </w:t>
      </w:r>
      <w:hyperlink r:id="rId6" w:anchor="studieutvalgsm-te-4-juni-2020-sak-42-64&gt;" w:history="1">
        <w:r w:rsidRPr="0091098B">
          <w:rPr>
            <w:rStyle w:val="Hyperkobling"/>
          </w:rPr>
          <w:t>SU-sak 61/20</w:t>
        </w:r>
      </w:hyperlink>
      <w:r>
        <w:t>.</w:t>
      </w:r>
    </w:p>
    <w:p w14:paraId="19645CC2" w14:textId="3A473CF8" w:rsidR="0091098B" w:rsidRPr="0091098B" w:rsidRDefault="0091098B" w:rsidP="0091098B">
      <w:pPr>
        <w:pStyle w:val="Overskrift1"/>
      </w:pPr>
      <w:r w:rsidRPr="0091098B">
        <w:t xml:space="preserve">Standardtekst for emner som skal ha tillegg til hovedregelen </w:t>
      </w:r>
    </w:p>
    <w:p w14:paraId="72A34FC5" w14:textId="77777777" w:rsidR="0091098B" w:rsidRPr="0091098B" w:rsidRDefault="0091098B" w:rsidP="0091098B">
      <w:pPr>
        <w:pStyle w:val="Overskrift3"/>
      </w:pPr>
      <w:r w:rsidRPr="0091098B">
        <w:t>Digitale hjelpemidler:</w:t>
      </w:r>
    </w:p>
    <w:p w14:paraId="7E382EF3" w14:textId="77777777" w:rsidR="0091098B" w:rsidRPr="0091098B" w:rsidRDefault="0091098B" w:rsidP="0091098B">
      <w:pPr>
        <w:shd w:val="clear" w:color="auto" w:fill="F5F5F5"/>
        <w:spacing w:after="0" w:line="276" w:lineRule="auto"/>
        <w:ind w:hanging="1"/>
        <w:outlineLvl w:val="2"/>
        <w:rPr>
          <w:rFonts w:eastAsia="Times New Roman" w:cstheme="majorHAnsi"/>
          <w:color w:val="333333"/>
          <w:lang w:eastAsia="nb-NO"/>
        </w:rPr>
      </w:pPr>
      <w:r w:rsidRPr="0091098B">
        <w:rPr>
          <w:rFonts w:eastAsia="Times New Roman" w:cstheme="majorHAnsi"/>
          <w:color w:val="333333"/>
          <w:lang w:eastAsia="nb-NO"/>
        </w:rPr>
        <w:t xml:space="preserve">Informasjon om tillatte digitale hjelpemidler finnes under § 3-5 a) i fakultetets </w:t>
      </w:r>
      <w:hyperlink r:id="rId7" w:anchor="kapittel-3-eksamen-rettigheter-og-plikter-for-studentene" w:history="1">
        <w:r w:rsidRPr="0091098B">
          <w:rPr>
            <w:rFonts w:eastAsia="Times New Roman" w:cstheme="majorHAnsi"/>
            <w:color w:val="0075AF"/>
            <w:u w:val="single"/>
            <w:lang w:eastAsia="nb-NO"/>
          </w:rPr>
          <w:t>utfyllende regler.</w:t>
        </w:r>
      </w:hyperlink>
    </w:p>
    <w:p w14:paraId="4C6E202E" w14:textId="77777777" w:rsidR="0091098B" w:rsidRPr="0091098B" w:rsidRDefault="0091098B" w:rsidP="0091098B">
      <w:pPr>
        <w:shd w:val="clear" w:color="auto" w:fill="F5F5F5"/>
        <w:spacing w:after="0" w:line="276" w:lineRule="auto"/>
        <w:ind w:hanging="1"/>
        <w:outlineLvl w:val="2"/>
        <w:rPr>
          <w:rFonts w:eastAsia="Times New Roman" w:cstheme="majorHAnsi"/>
          <w:color w:val="333333"/>
          <w:lang w:eastAsia="nb-NO"/>
        </w:rPr>
      </w:pPr>
      <w:r w:rsidRPr="0091098B">
        <w:rPr>
          <w:rFonts w:eastAsia="Times New Roman" w:cstheme="majorHAnsi"/>
          <w:color w:val="333333"/>
          <w:lang w:eastAsia="nb-NO"/>
        </w:rPr>
        <w:t>I tillegg er følgende tillatt på denne eksamen:</w:t>
      </w:r>
    </w:p>
    <w:p w14:paraId="37D560F3" w14:textId="77777777" w:rsidR="0091098B" w:rsidRPr="0091098B" w:rsidRDefault="0091098B" w:rsidP="0091098B">
      <w:pPr>
        <w:pStyle w:val="Listeavsnitt"/>
        <w:numPr>
          <w:ilvl w:val="0"/>
          <w:numId w:val="2"/>
        </w:numPr>
        <w:shd w:val="clear" w:color="auto" w:fill="F5F5F5"/>
        <w:spacing w:after="0" w:line="276" w:lineRule="auto"/>
        <w:rPr>
          <w:rFonts w:eastAsia="Times New Roman" w:cstheme="majorHAnsi"/>
          <w:color w:val="333333"/>
          <w:lang w:eastAsia="nb-NO"/>
        </w:rPr>
      </w:pPr>
      <w:r w:rsidRPr="0091098B">
        <w:rPr>
          <w:rFonts w:eastAsia="Times New Roman" w:cstheme="majorHAnsi"/>
          <w:color w:val="333333"/>
          <w:lang w:eastAsia="nb-NO"/>
        </w:rPr>
        <w:t>*</w:t>
      </w:r>
    </w:p>
    <w:p w14:paraId="0FF514C2" w14:textId="77777777" w:rsidR="0091098B" w:rsidRPr="0091098B" w:rsidRDefault="0091098B" w:rsidP="0091098B">
      <w:pPr>
        <w:pStyle w:val="Listeavsnitt"/>
        <w:numPr>
          <w:ilvl w:val="0"/>
          <w:numId w:val="2"/>
        </w:numPr>
        <w:shd w:val="clear" w:color="auto" w:fill="F5F5F5"/>
        <w:spacing w:after="0" w:line="276" w:lineRule="auto"/>
        <w:rPr>
          <w:rFonts w:eastAsia="Times New Roman" w:cstheme="majorHAnsi"/>
          <w:color w:val="333333"/>
          <w:lang w:eastAsia="nb-NO"/>
        </w:rPr>
      </w:pPr>
      <w:r w:rsidRPr="0091098B">
        <w:rPr>
          <w:rFonts w:eastAsia="Times New Roman" w:cstheme="majorHAnsi"/>
          <w:color w:val="333333"/>
          <w:lang w:eastAsia="nb-NO"/>
        </w:rPr>
        <w:t>*</w:t>
      </w:r>
    </w:p>
    <w:p w14:paraId="2C0F29FD" w14:textId="77777777" w:rsidR="0091098B" w:rsidRDefault="0091098B" w:rsidP="0091098B">
      <w:pPr>
        <w:shd w:val="clear" w:color="auto" w:fill="F5F5F5"/>
        <w:spacing w:after="0" w:line="276" w:lineRule="auto"/>
        <w:ind w:hanging="1"/>
        <w:rPr>
          <w:rFonts w:eastAsia="Times New Roman" w:cstheme="majorHAnsi"/>
          <w:color w:val="333333"/>
          <w:lang w:val="nn-NO" w:eastAsia="nb-NO"/>
        </w:rPr>
      </w:pPr>
    </w:p>
    <w:p w14:paraId="482A1F15" w14:textId="74A654C6" w:rsidR="0091098B" w:rsidRPr="0091098B" w:rsidRDefault="0091098B" w:rsidP="0091098B">
      <w:pPr>
        <w:shd w:val="clear" w:color="auto" w:fill="F5F5F5"/>
        <w:spacing w:after="0" w:line="276" w:lineRule="auto"/>
        <w:ind w:hanging="1"/>
        <w:rPr>
          <w:rFonts w:eastAsia="Times New Roman" w:cstheme="majorHAnsi"/>
          <w:color w:val="333333"/>
          <w:lang w:val="nn-NO" w:eastAsia="nb-NO"/>
        </w:rPr>
      </w:pPr>
      <w:proofErr w:type="spellStart"/>
      <w:r w:rsidRPr="0091098B">
        <w:rPr>
          <w:rFonts w:eastAsia="Times New Roman" w:cstheme="majorHAnsi"/>
          <w:color w:val="333333"/>
          <w:lang w:val="nn-NO" w:eastAsia="nb-NO"/>
        </w:rPr>
        <w:t>Tillatte</w:t>
      </w:r>
      <w:proofErr w:type="spellEnd"/>
      <w:r w:rsidRPr="0091098B">
        <w:rPr>
          <w:rFonts w:eastAsia="Times New Roman" w:cstheme="majorHAnsi"/>
          <w:color w:val="333333"/>
          <w:lang w:val="nn-NO" w:eastAsia="nb-NO"/>
        </w:rPr>
        <w:t xml:space="preserve"> </w:t>
      </w:r>
      <w:proofErr w:type="spellStart"/>
      <w:r w:rsidRPr="0091098B">
        <w:rPr>
          <w:rFonts w:eastAsia="Times New Roman" w:cstheme="majorHAnsi"/>
          <w:color w:val="333333"/>
          <w:lang w:val="nn-NO" w:eastAsia="nb-NO"/>
        </w:rPr>
        <w:t>innarbeidelser</w:t>
      </w:r>
      <w:proofErr w:type="spellEnd"/>
      <w:r w:rsidRPr="0091098B">
        <w:rPr>
          <w:rFonts w:eastAsia="Times New Roman" w:cstheme="majorHAnsi"/>
          <w:color w:val="333333"/>
          <w:lang w:val="nn-NO" w:eastAsia="nb-NO"/>
        </w:rPr>
        <w:t xml:space="preserve"> i Lovdata på denne eksamenen:</w:t>
      </w:r>
    </w:p>
    <w:p w14:paraId="12F742D8" w14:textId="77777777" w:rsidR="0091098B" w:rsidRPr="0091098B" w:rsidRDefault="0091098B" w:rsidP="0091098B">
      <w:pPr>
        <w:shd w:val="clear" w:color="auto" w:fill="F5F5F5"/>
        <w:spacing w:after="0" w:line="276" w:lineRule="auto"/>
        <w:ind w:hanging="1"/>
        <w:rPr>
          <w:rFonts w:eastAsia="Times New Roman" w:cstheme="majorHAnsi"/>
          <w:color w:val="333333"/>
          <w:lang w:val="nn-NO" w:eastAsia="nb-NO"/>
        </w:rPr>
      </w:pPr>
      <w:r w:rsidRPr="0091098B">
        <w:rPr>
          <w:rFonts w:eastAsia="Times New Roman" w:cstheme="majorHAnsi"/>
          <w:color w:val="333333"/>
          <w:lang w:val="nn-NO" w:eastAsia="nb-NO"/>
        </w:rPr>
        <w:t>Ingen tillegg til § 3-5 a nr. 5</w:t>
      </w:r>
    </w:p>
    <w:p w14:paraId="32CC269F" w14:textId="77777777" w:rsidR="0091098B" w:rsidRPr="0091098B" w:rsidRDefault="0091098B" w:rsidP="0091098B">
      <w:pPr>
        <w:shd w:val="clear" w:color="auto" w:fill="F5F5F5"/>
        <w:spacing w:before="120" w:after="120" w:line="276" w:lineRule="auto"/>
        <w:rPr>
          <w:rFonts w:eastAsia="Times New Roman" w:cstheme="majorHAnsi"/>
          <w:i/>
          <w:iCs/>
          <w:color w:val="806000" w:themeColor="accent4" w:themeShade="80"/>
          <w:lang w:eastAsia="nb-NO"/>
        </w:rPr>
      </w:pPr>
      <w:r w:rsidRPr="0091098B">
        <w:rPr>
          <w:rFonts w:eastAsia="Times New Roman" w:cstheme="majorHAnsi"/>
          <w:i/>
          <w:iCs/>
          <w:color w:val="806000" w:themeColor="accent4" w:themeShade="80"/>
          <w:lang w:eastAsia="nb-NO"/>
        </w:rPr>
        <w:t>eller</w:t>
      </w:r>
    </w:p>
    <w:p w14:paraId="5CF2668B" w14:textId="651D6667" w:rsidR="0091098B" w:rsidRPr="0091098B" w:rsidRDefault="0091098B" w:rsidP="0091098B">
      <w:pPr>
        <w:shd w:val="clear" w:color="auto" w:fill="F5F5F5"/>
        <w:spacing w:after="0" w:line="276" w:lineRule="auto"/>
        <w:ind w:hanging="1"/>
        <w:rPr>
          <w:rFonts w:eastAsia="Times New Roman" w:cstheme="majorHAnsi"/>
          <w:color w:val="333333"/>
          <w:lang w:eastAsia="nb-NO"/>
        </w:rPr>
      </w:pPr>
      <w:r w:rsidRPr="0091098B">
        <w:rPr>
          <w:rFonts w:eastAsia="Times New Roman" w:cstheme="majorHAnsi"/>
          <w:color w:val="333333"/>
          <w:lang w:eastAsia="nb-NO"/>
        </w:rPr>
        <w:t>Følgende tillegg til § 3-</w:t>
      </w:r>
      <w:r>
        <w:rPr>
          <w:rFonts w:eastAsia="Times New Roman" w:cstheme="majorHAnsi"/>
          <w:color w:val="333333"/>
          <w:lang w:eastAsia="nb-NO"/>
        </w:rPr>
        <w:t>5</w:t>
      </w:r>
      <w:r w:rsidRPr="0091098B">
        <w:rPr>
          <w:rFonts w:eastAsia="Times New Roman" w:cstheme="majorHAnsi"/>
          <w:color w:val="333333"/>
          <w:lang w:eastAsia="nb-NO"/>
        </w:rPr>
        <w:t xml:space="preserve"> a nr. 5</w:t>
      </w:r>
    </w:p>
    <w:p w14:paraId="5A54D8F5" w14:textId="77777777" w:rsidR="0091098B" w:rsidRPr="0091098B" w:rsidRDefault="0091098B" w:rsidP="0091098B">
      <w:pPr>
        <w:pStyle w:val="Listeavsnitt"/>
        <w:numPr>
          <w:ilvl w:val="0"/>
          <w:numId w:val="2"/>
        </w:numPr>
        <w:shd w:val="clear" w:color="auto" w:fill="F5F5F5"/>
        <w:spacing w:after="0" w:line="276" w:lineRule="auto"/>
        <w:rPr>
          <w:rFonts w:eastAsia="Times New Roman" w:cstheme="majorHAnsi"/>
          <w:color w:val="333333"/>
          <w:lang w:eastAsia="nb-NO"/>
        </w:rPr>
      </w:pPr>
      <w:r w:rsidRPr="0091098B">
        <w:rPr>
          <w:rFonts w:eastAsia="Times New Roman" w:cstheme="majorHAnsi"/>
          <w:color w:val="333333"/>
          <w:lang w:eastAsia="nb-NO"/>
        </w:rPr>
        <w:t>*</w:t>
      </w:r>
    </w:p>
    <w:p w14:paraId="04140F84" w14:textId="3B4873CF" w:rsidR="0091098B" w:rsidRDefault="0091098B" w:rsidP="0091098B">
      <w:pPr>
        <w:pStyle w:val="Listeavsnitt"/>
        <w:numPr>
          <w:ilvl w:val="0"/>
          <w:numId w:val="2"/>
        </w:numPr>
        <w:shd w:val="clear" w:color="auto" w:fill="F5F5F5"/>
        <w:spacing w:after="0" w:line="276" w:lineRule="auto"/>
        <w:rPr>
          <w:rFonts w:eastAsia="Times New Roman" w:cstheme="majorHAnsi"/>
          <w:color w:val="333333"/>
          <w:lang w:eastAsia="nb-NO"/>
        </w:rPr>
      </w:pPr>
      <w:r w:rsidRPr="0091098B">
        <w:rPr>
          <w:rFonts w:eastAsia="Times New Roman" w:cstheme="majorHAnsi"/>
          <w:color w:val="333333"/>
          <w:lang w:eastAsia="nb-NO"/>
        </w:rPr>
        <w:t>*</w:t>
      </w:r>
    </w:p>
    <w:p w14:paraId="53463AC7" w14:textId="77777777" w:rsidR="0091098B" w:rsidRPr="0091098B" w:rsidRDefault="0091098B" w:rsidP="0091098B">
      <w:pPr>
        <w:pStyle w:val="Overskrift3"/>
      </w:pPr>
      <w:r w:rsidRPr="0091098B">
        <w:t>Analoge hjelpemidler</w:t>
      </w:r>
    </w:p>
    <w:p w14:paraId="658FA8A9" w14:textId="516040E4" w:rsidR="0091098B" w:rsidRPr="0091098B" w:rsidRDefault="0091098B" w:rsidP="0091098B">
      <w:r>
        <w:t xml:space="preserve">Analoge hjelpemidler er utfaset fra og med studieåret 2020/21, se </w:t>
      </w:r>
      <w:hyperlink r:id="rId8" w:anchor="studieutvalgsm-te-4-juni-2020-sak-42-64&gt;" w:history="1">
        <w:r w:rsidRPr="0091098B">
          <w:rPr>
            <w:rStyle w:val="Hyperkobling"/>
          </w:rPr>
          <w:t>SU-sak 61/20</w:t>
        </w:r>
      </w:hyperlink>
      <w:r>
        <w:t>.</w:t>
      </w:r>
    </w:p>
    <w:sectPr w:rsidR="0091098B" w:rsidRPr="009109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rlito">
    <w:altName w:val="Calibri"/>
    <w:charset w:val="00"/>
    <w:family w:val="swiss"/>
    <w:pitch w:val="variable"/>
    <w:sig w:usb0="E10002FF" w:usb1="5000ECFF" w:usb2="0000000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A11046D"/>
    <w:multiLevelType w:val="hybridMultilevel"/>
    <w:tmpl w:val="D90AE8D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1E5637"/>
    <w:multiLevelType w:val="multilevel"/>
    <w:tmpl w:val="6EFC2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8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98B"/>
    <w:rsid w:val="000315B4"/>
    <w:rsid w:val="0011098B"/>
    <w:rsid w:val="001B7C57"/>
    <w:rsid w:val="001D4525"/>
    <w:rsid w:val="0030711C"/>
    <w:rsid w:val="0043451A"/>
    <w:rsid w:val="006127DE"/>
    <w:rsid w:val="0091098B"/>
    <w:rsid w:val="00A459F3"/>
    <w:rsid w:val="00B56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2ABDC"/>
  <w15:chartTrackingRefBased/>
  <w15:docId w15:val="{7E4F71D9-6A8B-4EAE-A4B2-159FE534E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451A"/>
    <w:rPr>
      <w:rFonts w:asciiTheme="majorHAnsi" w:hAnsiTheme="majorHAnsi"/>
    </w:rPr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91098B"/>
    <w:pPr>
      <w:keepNext/>
      <w:keepLines/>
      <w:spacing w:before="480" w:after="0"/>
      <w:outlineLvl w:val="0"/>
    </w:pPr>
    <w:rPr>
      <w:rFonts w:eastAsiaTheme="majorEastAsia" w:cstheme="majorBidi"/>
      <w:b/>
      <w:color w:val="806000" w:themeColor="accent4" w:themeShade="80"/>
      <w:sz w:val="32"/>
      <w:szCs w:val="32"/>
    </w:rPr>
  </w:style>
  <w:style w:type="paragraph" w:styleId="Overskrift2">
    <w:name w:val="heading 2"/>
    <w:basedOn w:val="Normal"/>
    <w:link w:val="Overskrift2Tegn"/>
    <w:autoRedefine/>
    <w:uiPriority w:val="9"/>
    <w:qFormat/>
    <w:rsid w:val="0091098B"/>
    <w:pPr>
      <w:spacing w:before="120" w:after="100" w:afterAutospacing="1" w:line="240" w:lineRule="auto"/>
      <w:outlineLvl w:val="1"/>
    </w:pPr>
    <w:rPr>
      <w:rFonts w:ascii="Carlito" w:eastAsia="Times New Roman" w:hAnsi="Carlito" w:cs="Times New Roman"/>
      <w:bCs/>
      <w:color w:val="2F5496" w:themeColor="accent1" w:themeShade="BF"/>
      <w:sz w:val="32"/>
      <w:szCs w:val="36"/>
      <w:lang w:eastAsia="nb-NO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91098B"/>
    <w:pPr>
      <w:keepNext/>
      <w:keepLines/>
      <w:spacing w:before="120" w:after="0"/>
      <w:outlineLvl w:val="2"/>
    </w:pPr>
    <w:rPr>
      <w:rFonts w:eastAsiaTheme="majorEastAsia" w:cstheme="majorBidi"/>
      <w:b/>
      <w:bCs/>
      <w:color w:val="1F3763" w:themeColor="accent1" w:themeShade="7F"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link w:val="TittelTegn"/>
    <w:uiPriority w:val="10"/>
    <w:qFormat/>
    <w:rsid w:val="000315B4"/>
    <w:pPr>
      <w:spacing w:after="0" w:line="240" w:lineRule="auto"/>
      <w:contextualSpacing/>
    </w:pPr>
    <w:rPr>
      <w:rFonts w:eastAsiaTheme="majorEastAsia" w:cstheme="majorBidi"/>
      <w:color w:val="2E74B5" w:themeColor="accent5" w:themeShade="BF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0315B4"/>
    <w:rPr>
      <w:rFonts w:asciiTheme="majorHAnsi" w:eastAsiaTheme="majorEastAsia" w:hAnsiTheme="majorHAnsi" w:cstheme="majorBidi"/>
      <w:color w:val="2E74B5" w:themeColor="accent5" w:themeShade="BF"/>
      <w:spacing w:val="-10"/>
      <w:kern w:val="28"/>
      <w:sz w:val="56"/>
      <w:szCs w:val="56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91098B"/>
    <w:rPr>
      <w:rFonts w:ascii="Carlito" w:eastAsia="Times New Roman" w:hAnsi="Carlito" w:cs="Times New Roman"/>
      <w:bCs/>
      <w:color w:val="2F5496" w:themeColor="accent1" w:themeShade="BF"/>
      <w:sz w:val="32"/>
      <w:szCs w:val="36"/>
      <w:lang w:eastAsia="nb-NO"/>
    </w:rPr>
  </w:style>
  <w:style w:type="paragraph" w:customStyle="1" w:styleId="BODY">
    <w:name w:val="BODY"/>
    <w:basedOn w:val="Normal"/>
    <w:uiPriority w:val="99"/>
    <w:rsid w:val="0091098B"/>
    <w:pPr>
      <w:autoSpaceDE w:val="0"/>
      <w:autoSpaceDN w:val="0"/>
      <w:adjustRightInd w:val="0"/>
      <w:spacing w:before="134" w:after="134" w:line="240" w:lineRule="auto"/>
    </w:pPr>
    <w:rPr>
      <w:rFonts w:ascii="Arial" w:hAnsi="Arial" w:cs="Arial"/>
      <w:sz w:val="24"/>
      <w:szCs w:val="24"/>
    </w:rPr>
  </w:style>
  <w:style w:type="character" w:styleId="Hyperkobling">
    <w:name w:val="Hyperlink"/>
    <w:basedOn w:val="Standardskriftforavsnitt"/>
    <w:uiPriority w:val="99"/>
    <w:unhideWhenUsed/>
    <w:rsid w:val="0091098B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91098B"/>
    <w:rPr>
      <w:color w:val="605E5C"/>
      <w:shd w:val="clear" w:color="auto" w:fill="E1DFDD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91098B"/>
    <w:rPr>
      <w:rFonts w:asciiTheme="majorHAnsi" w:eastAsiaTheme="majorEastAsia" w:hAnsiTheme="majorHAnsi" w:cstheme="majorBidi"/>
      <w:b/>
      <w:color w:val="806000" w:themeColor="accent4" w:themeShade="80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91098B"/>
    <w:rPr>
      <w:rFonts w:asciiTheme="majorHAnsi" w:eastAsiaTheme="majorEastAsia" w:hAnsiTheme="majorHAnsi" w:cstheme="majorBidi"/>
      <w:b/>
      <w:bCs/>
      <w:color w:val="1F3763" w:themeColor="accent1" w:themeShade="7F"/>
      <w:sz w:val="24"/>
      <w:szCs w:val="24"/>
    </w:rPr>
  </w:style>
  <w:style w:type="paragraph" w:styleId="Listeavsnitt">
    <w:name w:val="List Paragraph"/>
    <w:basedOn w:val="Normal"/>
    <w:uiPriority w:val="34"/>
    <w:qFormat/>
    <w:rsid w:val="009109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ib.no/jur/133149/su-innkallinger-og-protokoller-202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ib.no/jur/21684/utfyllende-regler-studier-ved-det-juridiske-fakultet-universitetet-i-berge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ib.no/jur/133149/su-innkallinger-og-protokoller-2020" TargetMode="External"/><Relationship Id="rId5" Type="http://schemas.openxmlformats.org/officeDocument/2006/relationships/hyperlink" Target="https://www.uib.no/jur/21684/utfyllende-regler-studier-ved-det-juridiske-fakultet-universitetet-i-bergen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234</Words>
  <Characters>1242</Characters>
  <Application>Microsoft Office Word</Application>
  <DocSecurity>0</DocSecurity>
  <Lines>10</Lines>
  <Paragraphs>2</Paragraphs>
  <ScaleCrop>false</ScaleCrop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Kjersti Bakke Sørensen</dc:creator>
  <cp:keywords/>
  <dc:description/>
  <cp:lastModifiedBy>Kjersti Bakke Sørensen</cp:lastModifiedBy>
  <cp:revision>1</cp:revision>
  <dcterms:created xsi:type="dcterms:W3CDTF">2020-10-20T09:39:00Z</dcterms:created>
  <dcterms:modified xsi:type="dcterms:W3CDTF">2020-10-20T09:49:00Z</dcterms:modified>
</cp:coreProperties>
</file>